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66087"/>
      <w:bookmarkEnd w:id="0"/>
      <w:bookmarkStart w:id="1" w:name="_Hlt450066085"/>
      <w:bookmarkEnd w:id="1"/>
      <w:bookmarkStart w:id="2" w:name="_Hlt450039480"/>
      <w:bookmarkEnd w:id="2"/>
      <w:bookmarkStart w:id="3" w:name="_Hlt449016246"/>
      <w:bookmarkEnd w:id="3"/>
      <w:bookmarkStart w:id="4" w:name="_Hlt450051172"/>
      <w:bookmarkEnd w:id="4"/>
      <w:bookmarkStart w:id="5" w:name="_Hlt448930105"/>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3741</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UE RF requirements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7.11.4</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 for NR NTN</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rPr>
            </w:pPr>
            <w:r>
              <w:rPr>
                <w:iCs/>
                <w:sz w:val="20"/>
                <w:szCs w:val="20"/>
              </w:rPr>
              <w:t>The objectives are:</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2</w:t>
            </w:r>
            <w:r>
              <w:rPr>
                <w:sz w:val="20"/>
                <w:szCs w:val="20"/>
              </w:rPr>
              <w:t xml:space="preserve"> (The US is in scope for the WI using the current allocation of the Ku band. The band introduction in specification is pending FCC decision)</w:t>
            </w:r>
            <w:r>
              <w:rPr>
                <w:bCs/>
                <w:sz w:val="20"/>
                <w:szCs w:val="20"/>
              </w:rPr>
              <w:t>:</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13.75-14.5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For ITU regions 1 and 3</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12.75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12.75 - 13.25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 xml:space="preserve">For ITU regions 2 </w:t>
            </w:r>
            <w:r>
              <w:rPr>
                <w:sz w:val="20"/>
                <w:szCs w:val="20"/>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Downlink 10.70 – 12.70 GHz</w:t>
            </w:r>
          </w:p>
          <w:p>
            <w:pPr>
              <w:numPr>
                <w:ilvl w:val="2"/>
                <w:numId w:val="8"/>
              </w:numPr>
              <w:overflowPunct w:val="0"/>
              <w:autoSpaceDE w:val="0"/>
              <w:autoSpaceDN w:val="0"/>
              <w:adjustRightInd w:val="0"/>
              <w:spacing w:after="0"/>
              <w:jc w:val="both"/>
              <w:textAlignment w:val="baseline"/>
              <w:rPr>
                <w:bCs/>
                <w:sz w:val="20"/>
                <w:szCs w:val="20"/>
              </w:rPr>
            </w:pPr>
            <w:r>
              <w:rPr>
                <w:bCs/>
                <w:sz w:val="20"/>
                <w:szCs w:val="20"/>
              </w:rPr>
              <w:t>Uplink 12.70 - 13.25 GHz</w:t>
            </w:r>
          </w:p>
          <w:p>
            <w:pPr>
              <w:numPr>
                <w:ilvl w:val="1"/>
                <w:numId w:val="8"/>
              </w:numPr>
              <w:overflowPunct w:val="0"/>
              <w:autoSpaceDE w:val="0"/>
              <w:autoSpaceDN w:val="0"/>
              <w:adjustRightInd w:val="0"/>
              <w:spacing w:after="0"/>
              <w:jc w:val="both"/>
              <w:textAlignment w:val="baseline"/>
              <w:rPr>
                <w:bCs/>
                <w:sz w:val="20"/>
                <w:szCs w:val="20"/>
              </w:rPr>
            </w:pPr>
            <w:r>
              <w:rPr>
                <w:bCs/>
                <w:sz w:val="20"/>
                <w:szCs w:val="20"/>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rPr>
            </w:pPr>
            <w:r>
              <w:rPr>
                <w:bCs/>
                <w:sz w:val="20"/>
                <w:szCs w:val="20"/>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rPr>
            </w:pPr>
            <w:r>
              <w:rPr>
                <w:sz w:val="20"/>
                <w:szCs w:val="20"/>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D</w:t>
            </w:r>
            <w:r>
              <w:rPr>
                <w:rFonts w:hint="eastAsia"/>
                <w:sz w:val="20"/>
                <w:szCs w:val="20"/>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w:t>
            </w:r>
            <w:r>
              <w:rPr>
                <w:rFonts w:hint="eastAsia"/>
                <w:sz w:val="20"/>
                <w:szCs w:val="20"/>
                <w:lang w:eastAsia="zh-TW"/>
              </w:rPr>
              <w:t xml:space="preserve"> </w:t>
            </w:r>
            <w:r>
              <w:rPr>
                <w:sz w:val="20"/>
                <w:szCs w:val="20"/>
              </w:rPr>
              <w:t>10 MHz</w:t>
            </w:r>
            <w:r>
              <w:rPr>
                <w:rFonts w:hint="eastAsia"/>
                <w:sz w:val="20"/>
                <w:szCs w:val="20"/>
                <w:lang w:eastAsia="zh-TW"/>
              </w:rPr>
              <w:t>,</w:t>
            </w:r>
            <w:r>
              <w:rPr>
                <w:sz w:val="20"/>
                <w:szCs w:val="20"/>
              </w:rPr>
              <w:t xml:space="preserve"> 20 MHz, 25 MHz, 35 MHz, 50 MHz, 70 MHz and 100 MHz channel bandwidths with 30 kHz subcarrier spacing, and 10MHz, 15MHz, 25MHz, 35MHz and 50MHz channel bandwidths with 15 kHz subcarrier spacing. </w:t>
            </w:r>
          </w:p>
          <w:p>
            <w:pPr>
              <w:pStyle w:val="34"/>
              <w:numPr>
                <w:ilvl w:val="2"/>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Note: Same subcarrier spacing is assumed for SSB and data channels</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r>
              <w:rPr>
                <w:sz w:val="20"/>
                <w:szCs w:val="20"/>
                <w:lang w:eastAsia="zh-TW"/>
              </w:rPr>
              <w:t>.</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lang w:eastAsia="zh-TW"/>
              </w:rPr>
              <w:t>Note: Simultaneous operation of FR1-NTN and FR2-NTN numerology is not supported in the UE</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rPr>
            </w:pPr>
            <w:r>
              <w:rPr>
                <w:sz w:val="20"/>
                <w:szCs w:val="20"/>
              </w:rPr>
              <w:t>NOTE:</w:t>
            </w:r>
            <w:r>
              <w:rPr>
                <w:sz w:val="20"/>
                <w:szCs w:val="20"/>
              </w:rPr>
              <w:tab/>
            </w:r>
            <w:r>
              <w:rPr>
                <w:sz w:val="20"/>
                <w:szCs w:val="20"/>
              </w:rPr>
              <w:t>RRM requirements are defined for VSAT supporting FR1-NTN operation only, or for FR2-NTN operation only.</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sz w:val="20"/>
          <w:szCs w:val="18"/>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2.1 Off-axis EIRP emission density limit within the operating band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1-2-</w:t>
            </w:r>
            <w:r>
              <w:rPr>
                <w:rFonts w:hint="eastAsia" w:eastAsia="PMingLiU"/>
                <w:sz w:val="20"/>
                <w:szCs w:val="20"/>
                <w:lang w:val="en-US" w:eastAsia="zh-TW"/>
              </w:rPr>
              <w:t>5</w:t>
            </w:r>
            <w:r>
              <w:rPr>
                <w:sz w:val="20"/>
                <w:szCs w:val="20"/>
                <w:lang w:val="en-US"/>
              </w:rPr>
              <w:t>:</w:t>
            </w:r>
            <w:r>
              <w:rPr>
                <w:rFonts w:hint="eastAsia" w:eastAsia="PMingLiU"/>
                <w:sz w:val="20"/>
                <w:szCs w:val="20"/>
                <w:lang w:val="en-US" w:eastAsia="zh-TW"/>
              </w:rPr>
              <w:t xml:space="preserve"> Off-axis EIRP requirements for the CEPT Ku band</w:t>
            </w:r>
          </w:p>
          <w:p>
            <w:pPr>
              <w:pStyle w:val="34"/>
              <w:keepNext/>
              <w:numPr>
                <w:ilvl w:val="0"/>
                <w:numId w:val="10"/>
              </w:numPr>
              <w:overflowPunct/>
              <w:autoSpaceDE/>
              <w:autoSpaceDN/>
              <w:adjustRightInd/>
              <w:spacing w:after="120" w:line="259" w:lineRule="auto"/>
              <w:ind w:left="709" w:firstLineChars="0"/>
              <w:textAlignment w:val="auto"/>
              <w:rPr>
                <w:rFonts w:eastAsiaTheme="minorEastAsia"/>
                <w:sz w:val="20"/>
                <w:szCs w:val="20"/>
                <w:lang w:val="en-US" w:eastAsia="zh-TW"/>
              </w:rPr>
            </w:pPr>
            <w:r>
              <w:rPr>
                <w:rFonts w:hint="eastAsia"/>
                <w:sz w:val="20"/>
                <w:szCs w:val="20"/>
                <w:lang w:val="en-US" w:eastAsia="zh-TW"/>
              </w:rPr>
              <w:t xml:space="preserve">For the Ku band </w:t>
            </w:r>
            <w:r>
              <w:rPr>
                <w:sz w:val="20"/>
                <w:szCs w:val="20"/>
                <w:lang w:val="en-US" w:eastAsia="zh-TW"/>
              </w:rPr>
              <w:t>concerning requirements from ECC regulation and ETSI standards</w:t>
            </w:r>
            <w:r>
              <w:rPr>
                <w:rFonts w:hint="eastAsia"/>
                <w:sz w:val="20"/>
                <w:szCs w:val="20"/>
                <w:lang w:val="en-US" w:eastAsia="zh-TW"/>
              </w:rPr>
              <w:t>, the o</w:t>
            </w:r>
            <w:r>
              <w:rPr>
                <w:sz w:val="20"/>
                <w:szCs w:val="20"/>
                <w:lang w:val="en-US"/>
              </w:rPr>
              <w:t>ff-axis EIRP density limits</w:t>
            </w:r>
            <w:r>
              <w:rPr>
                <w:rFonts w:hint="eastAsia"/>
                <w:sz w:val="20"/>
                <w:szCs w:val="20"/>
                <w:lang w:val="en-US" w:eastAsia="zh-TW"/>
              </w:rPr>
              <w:t xml:space="preserve"> from EN </w:t>
            </w:r>
            <w:r>
              <w:rPr>
                <w:sz w:val="20"/>
                <w:szCs w:val="20"/>
                <w:lang w:val="en-US" w:eastAsia="zh-TW"/>
              </w:rPr>
              <w:t>302 977</w:t>
            </w:r>
            <w:r>
              <w:rPr>
                <w:rFonts w:hint="eastAsia"/>
                <w:sz w:val="20"/>
                <w:szCs w:val="20"/>
                <w:lang w:val="en-US" w:eastAsia="zh-TW"/>
              </w:rPr>
              <w:t xml:space="preserve"> will be consider</w:t>
            </w:r>
            <w:r>
              <w:rPr>
                <w:sz w:val="20"/>
                <w:szCs w:val="20"/>
                <w:lang w:val="en-US" w:eastAsia="zh-TW"/>
              </w:rPr>
              <w:t>ed</w:t>
            </w:r>
            <w:r>
              <w:rPr>
                <w:rFonts w:hint="eastAsia"/>
                <w:sz w:val="20"/>
                <w:szCs w:val="20"/>
                <w:lang w:val="en-US" w:eastAsia="zh-TW"/>
              </w:rPr>
              <w:t xml:space="preserve"> as the starting point</w:t>
            </w:r>
          </w:p>
          <w:p>
            <w:pPr>
              <w:pStyle w:val="34"/>
              <w:keepNext/>
              <w:numPr>
                <w:ilvl w:val="1"/>
                <w:numId w:val="10"/>
              </w:numPr>
              <w:overflowPunct/>
              <w:autoSpaceDE/>
              <w:autoSpaceDN/>
              <w:adjustRightInd/>
              <w:spacing w:after="120" w:line="259" w:lineRule="auto"/>
              <w:ind w:firstLineChars="0"/>
              <w:textAlignment w:val="auto"/>
              <w:rPr>
                <w:rFonts w:hint="eastAsia"/>
                <w:sz w:val="20"/>
                <w:szCs w:val="20"/>
                <w:vertAlign w:val="baseline"/>
                <w:lang w:val="en-US" w:eastAsia="zh-CN"/>
              </w:rPr>
            </w:pPr>
            <w:r>
              <w:rPr>
                <w:rFonts w:hint="eastAsia" w:eastAsiaTheme="minorEastAsia"/>
                <w:sz w:val="20"/>
                <w:szCs w:val="20"/>
                <w:lang w:val="en-US" w:eastAsia="zh-TW"/>
              </w:rPr>
              <w:t xml:space="preserve">Companies are encouraged to further check the condition for </w:t>
            </w:r>
            <w:r>
              <w:rPr>
                <w:sz w:val="20"/>
                <w:szCs w:val="20"/>
              </w:rPr>
              <w:t>φ &gt; 70°</w:t>
            </w:r>
            <w:r>
              <w:rPr>
                <w:rFonts w:hint="eastAsia"/>
                <w:sz w:val="20"/>
                <w:szCs w:val="20"/>
                <w:lang w:eastAsia="zh-TW"/>
              </w:rPr>
              <w:t xml:space="preserve"> and the application on the </w:t>
            </w:r>
            <w:r>
              <w:rPr>
                <w:sz w:val="20"/>
                <w:szCs w:val="20"/>
                <w:lang w:eastAsia="zh-TW"/>
              </w:rPr>
              <w:t xml:space="preserve">maximum number of </w:t>
            </w:r>
            <w:r>
              <w:rPr>
                <w:rFonts w:hint="eastAsia"/>
                <w:sz w:val="20"/>
                <w:szCs w:val="20"/>
                <w:lang w:eastAsia="zh-TW"/>
              </w:rPr>
              <w:t>the VSATs for this requirement</w:t>
            </w:r>
          </w:p>
        </w:tc>
      </w:tr>
    </w:tbl>
    <w:p>
      <w:pPr>
        <w:rPr>
          <w:rFonts w:hint="eastAsia"/>
          <w:sz w:val="20"/>
          <w:szCs w:val="20"/>
          <w:lang w:val="en-US" w:eastAsia="zh-CN"/>
        </w:rPr>
      </w:pPr>
      <w:r>
        <w:rPr>
          <w:rFonts w:hint="eastAsia"/>
          <w:sz w:val="20"/>
          <w:szCs w:val="20"/>
          <w:lang w:val="en-US" w:eastAsia="zh-CN"/>
        </w:rPr>
        <w:t xml:space="preserve">The above is way forward in last meeting and we tend to agree use the off-axis EIRP density limits from EN 302 977 as  the starting point. Moreover, the following wording was brought to our attention in last meeting, which is also included in </w:t>
      </w:r>
      <w:r>
        <w:rPr>
          <w:rFonts w:eastAsia="PMingLiU"/>
          <w:sz w:val="20"/>
          <w:szCs w:val="20"/>
          <w:lang w:val="en-US" w:eastAsia="zh-TW"/>
        </w:rPr>
        <w:t>EN 301 428,</w:t>
      </w:r>
      <w:r>
        <w:rPr>
          <w:rFonts w:hint="eastAsia" w:eastAsia="PMingLiU"/>
          <w:sz w:val="20"/>
          <w:szCs w:val="20"/>
          <w:lang w:val="en-US" w:eastAsia="zh-TW"/>
        </w:rPr>
        <w:t xml:space="preserve"> </w:t>
      </w:r>
      <w:r>
        <w:rPr>
          <w:rFonts w:eastAsia="PMingLiU"/>
          <w:sz w:val="20"/>
          <w:szCs w:val="20"/>
          <w:lang w:val="en-US" w:eastAsia="zh-TW"/>
        </w:rPr>
        <w:t>EN 302 340</w:t>
      </w:r>
      <w:r>
        <w:rPr>
          <w:rFonts w:hint="eastAsia" w:eastAsia="宋体"/>
          <w:sz w:val="20"/>
          <w:szCs w:val="20"/>
          <w:lang w:val="en-US" w:eastAsia="zh-CN"/>
        </w:rPr>
        <w:t xml:space="preserve"> applied for mobile VSAT</w:t>
      </w:r>
      <w:r>
        <w:rPr>
          <w:rFonts w:hint="eastAsia"/>
          <w:sz w:val="20"/>
          <w:szCs w:val="20"/>
          <w:lang w:val="en-US" w:eastAsia="zh-CN"/>
        </w:rPr>
        <w:t>.</w:t>
      </w:r>
    </w:p>
    <w:p>
      <w:pPr>
        <w:rPr>
          <w:rFonts w:hint="default"/>
          <w:sz w:val="20"/>
          <w:szCs w:val="20"/>
          <w:lang w:val="en-US" w:eastAsia="zh-CN"/>
        </w:rPr>
      </w:pPr>
      <w:r>
        <w:drawing>
          <wp:inline distT="0" distB="0" distL="114300" distR="114300">
            <wp:extent cx="4779010" cy="278130"/>
            <wp:effectExtent l="101600" t="71755" r="331470" b="3206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779010" cy="278130"/>
                    </a:xfrm>
                    <a:prstGeom prst="rect">
                      <a:avLst/>
                    </a:prstGeom>
                    <a:ln>
                      <a:noFill/>
                    </a:ln>
                    <a:effectLst>
                      <a:outerShdw blurRad="292100" dist="139700" dir="2700000" algn="tl" rotWithShape="0">
                        <a:srgbClr val="333333">
                          <a:alpha val="65000"/>
                        </a:srgbClr>
                      </a:outerShdw>
                    </a:effectLst>
                  </pic:spPr>
                </pic:pic>
              </a:graphicData>
            </a:graphic>
          </wp:inline>
        </w:drawing>
      </w:r>
    </w:p>
    <w:p>
      <w:pPr>
        <w:rPr>
          <w:rFonts w:hint="default" w:ascii="Times New Roman" w:hAnsi="Times New Roman" w:eastAsia="宋体" w:cs="Times New Roman"/>
          <w:sz w:val="20"/>
          <w:szCs w:val="20"/>
          <w:lang w:val="en-US" w:eastAsia="zh-CN"/>
        </w:rPr>
      </w:pPr>
      <w:r>
        <w:rPr>
          <w:rFonts w:hint="eastAsia"/>
          <w:sz w:val="20"/>
          <w:szCs w:val="20"/>
          <w:lang w:val="en-US" w:eastAsia="zh-CN"/>
        </w:rPr>
        <w:t xml:space="preserve">From our understanding, it is necessary to include the </w:t>
      </w:r>
      <w:r>
        <w:rPr>
          <w:rFonts w:hint="eastAsia" w:eastAsiaTheme="minorEastAsia"/>
          <w:sz w:val="20"/>
          <w:szCs w:val="20"/>
          <w:lang w:val="en-US" w:eastAsia="zh-TW"/>
        </w:rPr>
        <w:t xml:space="preserve">condition for </w:t>
      </w:r>
      <w:r>
        <w:rPr>
          <w:sz w:val="20"/>
          <w:szCs w:val="20"/>
        </w:rPr>
        <w:t>φ &gt; 70°</w:t>
      </w:r>
      <w:r>
        <w:rPr>
          <w:rFonts w:hint="eastAsia"/>
          <w:sz w:val="20"/>
          <w:szCs w:val="20"/>
          <w:lang w:val="en-US" w:eastAsia="zh-CN"/>
        </w:rPr>
        <w:t xml:space="preserve"> into the spec, and we propose to add a note to clarify the relaxation conditions for </w:t>
      </w:r>
      <w:r>
        <w:rPr>
          <w:sz w:val="20"/>
          <w:szCs w:val="20"/>
        </w:rPr>
        <w:t>φ &gt; 70°</w:t>
      </w:r>
      <w:r>
        <w:rPr>
          <w:rFonts w:hint="eastAsia"/>
          <w:sz w:val="20"/>
          <w:szCs w:val="20"/>
          <w:lang w:val="en-US" w:eastAsia="zh-CN"/>
        </w:rPr>
        <w:t xml:space="preserve"> as follows. </w:t>
      </w:r>
    </w:p>
    <w:p>
      <w:pPr>
        <w:pStyle w:val="56"/>
        <w:rPr>
          <w:rFonts w:hint="default" w:eastAsia="宋体"/>
          <w:lang w:val="en-US" w:eastAsia="zh-CN"/>
        </w:rPr>
      </w:pPr>
      <w:r>
        <w:t xml:space="preserve">Table 2.1-1: Off-axis EIRP density limits for </w:t>
      </w:r>
      <w:r>
        <w:rPr>
          <w:lang w:val="en-US"/>
        </w:rPr>
        <w:t>co-polarized transmissions</w:t>
      </w:r>
      <w:r>
        <w:rPr>
          <w:rFonts w:hint="eastAsia"/>
          <w:lang w:val="en-US" w:eastAsia="zh-CN"/>
        </w:rPr>
        <w:t xml:space="preserve"> for band n248 and n509</w:t>
      </w:r>
    </w:p>
    <w:tbl>
      <w:tblPr>
        <w:tblStyle w:val="24"/>
        <w:tblW w:w="0" w:type="auto"/>
        <w:tblInd w:w="7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0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θ value</w:t>
            </w:r>
          </w:p>
        </w:tc>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Maximum Off-axis EIRP (dBm)</w:t>
            </w:r>
          </w:p>
        </w:tc>
        <w:tc>
          <w:tcPr>
            <w:tcW w:w="1514"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rFonts w:hint="eastAsia"/>
                <w:shd w:val="clear" w:color="auto" w:fill="FFFFFF"/>
                <w:lang w:val="en-US" w:eastAsia="zh-CN"/>
              </w:rPr>
              <w:t>2.5</w:t>
            </w:r>
            <w:r>
              <w:rPr>
                <w:shd w:val="clear" w:color="auto" w:fill="FFFFFF"/>
              </w:rPr>
              <w:t>° ≤ θ ≤ 7°</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63</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7° ≤ θ ≤ 9.2°</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42</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9.2° ≤ θ ≤ 48°</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66</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48° &lt; θ</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2</w:t>
            </w:r>
            <w:r>
              <w:rPr>
                <w:rFonts w:hint="eastAsia"/>
                <w:lang w:val="en-US" w:eastAsia="zh-CN"/>
              </w:rPr>
              <w:t>4</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3" w:type="dxa"/>
            <w:gridSpan w:val="3"/>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eastAsia="fr-FR"/>
              </w:rPr>
            </w:pPr>
            <w:r>
              <w:rPr>
                <w:lang w:val="en-US"/>
              </w:rPr>
              <w:t>NOTE</w:t>
            </w:r>
            <w:r>
              <w:rPr>
                <w:rFonts w:hint="eastAsia"/>
                <w:lang w:val="en-US" w:eastAsia="zh-CN"/>
              </w:rPr>
              <w:t xml:space="preserve"> 1</w:t>
            </w:r>
            <w:r>
              <w:rPr>
                <w:lang w:val="en-US"/>
              </w:rPr>
              <w:t>:</w:t>
            </w:r>
            <w:r>
              <w:rPr>
                <w:lang w:val="en-US"/>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rFonts w:hint="eastAsia"/>
                <w:lang w:val="en-US" w:eastAsia="zh-CN"/>
              </w:rPr>
              <w:t>mobile</w:t>
            </w:r>
            <w:r>
              <w:rPr>
                <w:lang w:val="en-US" w:eastAsia="fr-FR"/>
              </w:rPr>
              <w:t xml:space="preserve"> VSAT</w:t>
            </w:r>
            <w:r>
              <w:rPr>
                <w:lang w:eastAsia="fr-FR"/>
              </w:rPr>
              <w:t xml:space="preserve"> transmits at any one time on a given carrier frequency</w:t>
            </w:r>
            <w:r>
              <w:rPr>
                <w:lang w:val="en-US" w:eastAsia="fr-FR"/>
              </w:rPr>
              <w:t>. See sub-clause 4.2.</w:t>
            </w:r>
            <w:r>
              <w:rPr>
                <w:rFonts w:hint="eastAsia"/>
                <w:lang w:val="en-US" w:eastAsia="zh-CN"/>
              </w:rPr>
              <w:t>3</w:t>
            </w:r>
            <w:r>
              <w:rPr>
                <w:lang w:val="en-US" w:eastAsia="fr-FR"/>
              </w:rPr>
              <w:t xml:space="preserve">.2 in </w:t>
            </w:r>
            <w:r>
              <w:rPr>
                <w:rFonts w:hint="eastAsia"/>
                <w:lang w:val="en-US" w:eastAsia="fr-FR"/>
              </w:rPr>
              <w:t>EN 30</w:t>
            </w:r>
            <w:r>
              <w:rPr>
                <w:rFonts w:hint="eastAsia"/>
                <w:lang w:val="en-US" w:eastAsia="zh-CN"/>
              </w:rPr>
              <w:t>1 428</w:t>
            </w:r>
            <w:r>
              <w:rPr>
                <w:lang w:val="en-US" w:eastAsia="fr-FR"/>
              </w:rPr>
              <w:t>. The manufacturer shall declare the value of N.</w:t>
            </w:r>
          </w:p>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NOTE</w:t>
            </w:r>
            <w:r>
              <w:rPr>
                <w:rFonts w:hint="eastAsia"/>
                <w:lang w:val="en-US" w:eastAsia="zh-CN"/>
              </w:rPr>
              <w:t xml:space="preserve"> 2</w:t>
            </w:r>
            <w:r>
              <w:rPr>
                <w:lang w:val="en-US"/>
              </w:rPr>
              <w:t>:</w:t>
            </w:r>
            <w:r>
              <w:rPr>
                <w:lang w:val="en-US"/>
              </w:rPr>
              <w:tab/>
            </w:r>
            <w:r>
              <w:rPr>
                <w:rFonts w:hint="eastAsia"/>
                <w:lang w:val="en-US"/>
              </w:rPr>
              <w:t xml:space="preserve">For </w:t>
            </w:r>
            <w:r>
              <w:rPr>
                <w:shd w:val="clear" w:color="auto" w:fill="FFFFFF"/>
              </w:rPr>
              <w:t>θ</w:t>
            </w:r>
            <w:r>
              <w:rPr>
                <w:rFonts w:hint="eastAsia"/>
                <w:lang w:val="en-US"/>
              </w:rPr>
              <w:t>&gt; 70</w:t>
            </w:r>
            <w:r>
              <w:rPr>
                <w:shd w:val="clear" w:color="auto" w:fill="FFFFFF"/>
              </w:rPr>
              <w:t>°</w:t>
            </w:r>
            <w:r>
              <w:rPr>
                <w:rFonts w:hint="eastAsia"/>
                <w:lang w:val="en-US"/>
              </w:rPr>
              <w:t xml:space="preserve"> the values given above may be increased to 4 - H dBW over the range of angles for which the particular feed system may give rise to relatively high levels of spillover.</w:t>
            </w:r>
          </w:p>
        </w:tc>
      </w:tr>
    </w:tbl>
    <w:p>
      <w:pPr>
        <w:rPr>
          <w:rFonts w:hint="default"/>
          <w:b/>
          <w:bCs/>
          <w:sz w:val="20"/>
          <w:szCs w:val="20"/>
          <w:lang w:val="en-US" w:eastAsia="zh-CN"/>
        </w:rPr>
      </w:pPr>
      <w:r>
        <w:rPr>
          <w:rFonts w:hint="eastAsia"/>
          <w:b/>
          <w:bCs/>
          <w:sz w:val="20"/>
          <w:szCs w:val="20"/>
          <w:lang w:val="en-US" w:eastAsia="zh-CN"/>
        </w:rPr>
        <w:t xml:space="preserve">Proposal 1: We propose to add a note to clarify the relaxation conditions for </w:t>
      </w:r>
      <w:r>
        <w:rPr>
          <w:b/>
          <w:bCs/>
          <w:sz w:val="20"/>
          <w:szCs w:val="20"/>
        </w:rPr>
        <w:t>φ &gt; 70°</w:t>
      </w:r>
      <w:r>
        <w:rPr>
          <w:rFonts w:hint="eastAsia"/>
          <w:b/>
          <w:bCs/>
          <w:sz w:val="20"/>
          <w:szCs w:val="20"/>
          <w:lang w:val="en-US" w:eastAsia="zh-CN"/>
        </w:rPr>
        <w:t xml:space="preserve"> and define off-axis EIRP requirements for the CEPT Ku band as Table 2.1-1.</w:t>
      </w:r>
    </w:p>
    <w:p>
      <w:pPr>
        <w:rPr>
          <w:rFonts w:hint="default" w:eastAsia="宋体"/>
          <w:sz w:val="20"/>
          <w:szCs w:val="20"/>
          <w:lang w:val="en-US" w:eastAsia="zh-CN"/>
        </w:rPr>
      </w:pPr>
      <w:r>
        <w:rPr>
          <w:rFonts w:hint="eastAsia"/>
          <w:sz w:val="20"/>
          <w:szCs w:val="20"/>
          <w:lang w:val="en-US" w:eastAsia="zh-CN"/>
        </w:rPr>
        <w:t xml:space="preserve">Furthermore, off-axis EIRP density limits for cross-polarized also needs to be specified for CEPT Ku band. The requirements in </w:t>
      </w:r>
      <w:r>
        <w:rPr>
          <w:rFonts w:eastAsia="PMingLiU"/>
          <w:sz w:val="20"/>
          <w:szCs w:val="20"/>
          <w:lang w:val="en-US" w:eastAsia="zh-TW"/>
        </w:rPr>
        <w:t>EN 301 428,</w:t>
      </w:r>
      <w:r>
        <w:rPr>
          <w:rFonts w:hint="eastAsia" w:eastAsia="PMingLiU"/>
          <w:sz w:val="20"/>
          <w:szCs w:val="20"/>
          <w:lang w:val="en-US" w:eastAsia="zh-TW"/>
        </w:rPr>
        <w:t xml:space="preserve"> </w:t>
      </w:r>
      <w:r>
        <w:rPr>
          <w:rFonts w:eastAsia="PMingLiU"/>
          <w:sz w:val="20"/>
          <w:szCs w:val="20"/>
          <w:lang w:val="en-US" w:eastAsia="zh-TW"/>
        </w:rPr>
        <w:t>EN 302 340 and EN 302 977</w:t>
      </w:r>
      <w:r>
        <w:rPr>
          <w:rFonts w:hint="eastAsia" w:eastAsia="宋体"/>
          <w:sz w:val="20"/>
          <w:szCs w:val="20"/>
          <w:lang w:val="en-US" w:eastAsia="zh-CN"/>
        </w:rPr>
        <w:t xml:space="preserve"> are specified as follows:</w:t>
      </w:r>
    </w:p>
    <w:p>
      <w:pPr>
        <w:rPr>
          <w:rFonts w:hint="default"/>
          <w:b/>
          <w:bCs/>
          <w:lang w:val="en-US" w:eastAsia="zh-CN"/>
        </w:rPr>
      </w:pPr>
      <w:r>
        <w:rPr>
          <w:rFonts w:hint="eastAsia"/>
          <w:b/>
          <w:bCs/>
          <w:lang w:val="en-US" w:eastAsia="zh-CN"/>
        </w:rPr>
        <w:t>EN 301 428 (14.0-14.5 GHz)</w:t>
      </w:r>
    </w:p>
    <w:p>
      <w:r>
        <w:drawing>
          <wp:inline distT="0" distB="0" distL="114300" distR="114300">
            <wp:extent cx="4963795" cy="1188720"/>
            <wp:effectExtent l="116840" t="86360" r="344805" b="3251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3"/>
                    <a:stretch>
                      <a:fillRect/>
                    </a:stretch>
                  </pic:blipFill>
                  <pic:spPr>
                    <a:xfrm>
                      <a:off x="0" y="0"/>
                      <a:ext cx="4963795" cy="1188720"/>
                    </a:xfrm>
                    <a:prstGeom prst="rect">
                      <a:avLst/>
                    </a:prstGeom>
                    <a:ln>
                      <a:noFill/>
                    </a:ln>
                    <a:effectLst>
                      <a:outerShdw blurRad="292100" dist="139700" dir="2700000" algn="tl" rotWithShape="0">
                        <a:srgbClr val="333333">
                          <a:alpha val="65000"/>
                        </a:srgbClr>
                      </a:outerShdw>
                    </a:effectLst>
                  </pic:spPr>
                </pic:pic>
              </a:graphicData>
            </a:graphic>
          </wp:inline>
        </w:drawing>
      </w:r>
    </w:p>
    <w:p>
      <w:pPr>
        <w:rPr>
          <w:rFonts w:hint="default"/>
          <w:b/>
          <w:bCs/>
          <w:lang w:val="en-US" w:eastAsia="zh-CN"/>
        </w:rPr>
      </w:pPr>
      <w:r>
        <w:rPr>
          <w:rFonts w:hint="eastAsia"/>
          <w:b/>
          <w:bCs/>
          <w:lang w:val="en-US" w:eastAsia="zh-CN"/>
        </w:rPr>
        <w:t>EN 302 340, EN 302 977 (14.0-14.5 GHz)</w:t>
      </w:r>
    </w:p>
    <w:p>
      <w:r>
        <w:drawing>
          <wp:inline distT="0" distB="0" distL="114300" distR="114300">
            <wp:extent cx="5104765" cy="986790"/>
            <wp:effectExtent l="116840" t="86360" r="340995" b="32893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4"/>
                    <a:stretch>
                      <a:fillRect/>
                    </a:stretch>
                  </pic:blipFill>
                  <pic:spPr>
                    <a:xfrm>
                      <a:off x="0" y="0"/>
                      <a:ext cx="5104765" cy="986790"/>
                    </a:xfrm>
                    <a:prstGeom prst="rect">
                      <a:avLst/>
                    </a:prstGeom>
                    <a:ln>
                      <a:noFill/>
                    </a:ln>
                    <a:effectLst>
                      <a:outerShdw blurRad="292100" dist="139700" dir="2700000" algn="tl" rotWithShape="0">
                        <a:srgbClr val="333333">
                          <a:alpha val="65000"/>
                        </a:srgbClr>
                      </a:outerShdw>
                    </a:effectLst>
                  </pic:spPr>
                </pic:pic>
              </a:graphicData>
            </a:graphic>
          </wp:inline>
        </w:drawing>
      </w:r>
    </w:p>
    <w:p>
      <w:pPr>
        <w:rPr>
          <w:rFonts w:hint="eastAsia"/>
          <w:sz w:val="20"/>
          <w:szCs w:val="20"/>
          <w:lang w:val="en-US" w:eastAsia="zh-CN"/>
        </w:rPr>
      </w:pPr>
      <w:r>
        <w:rPr>
          <w:rFonts w:hint="eastAsia"/>
          <w:sz w:val="20"/>
          <w:szCs w:val="20"/>
          <w:lang w:val="en-US" w:eastAsia="zh-CN"/>
        </w:rPr>
        <w:t>Base on above, we propose to define off-axis EIRP density limits for cross-polarized component for CEPT Ku band as Table 2.1-2.</w:t>
      </w:r>
    </w:p>
    <w:p>
      <w:pPr>
        <w:pStyle w:val="56"/>
        <w:rPr>
          <w:lang w:val="en-US"/>
        </w:rPr>
      </w:pPr>
      <w:r>
        <w:t xml:space="preserve">Table 2.1-2: Off-axis EIRP density limits for </w:t>
      </w:r>
      <w:r>
        <w:rPr>
          <w:lang w:val="en-US"/>
        </w:rPr>
        <w:t>cross-polarized transmissions</w:t>
      </w:r>
    </w:p>
    <w:tbl>
      <w:tblPr>
        <w:tblStyle w:val="24"/>
        <w:tblW w:w="0" w:type="auto"/>
        <w:tblInd w:w="7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0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θ value</w:t>
            </w:r>
          </w:p>
        </w:tc>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Maximum Off-axis EIRP (dBm)</w:t>
            </w:r>
          </w:p>
        </w:tc>
        <w:tc>
          <w:tcPr>
            <w:tcW w:w="1514"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rFonts w:hint="eastAsia"/>
                <w:shd w:val="clear" w:color="auto" w:fill="FFFFFF"/>
                <w:lang w:val="en-US" w:eastAsia="zh-CN"/>
              </w:rPr>
              <w:t>2.5</w:t>
            </w:r>
            <w:r>
              <w:rPr>
                <w:shd w:val="clear" w:color="auto" w:fill="FFFFFF"/>
              </w:rPr>
              <w:t>° ≤ θ ≤ 7°</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53</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7° ≤ θ ≤ 9.2°</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32</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3" w:type="dxa"/>
            <w:gridSpan w:val="3"/>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rFonts w:hint="eastAsia"/>
                <w:lang w:val="en-US" w:eastAsia="zh-CN"/>
              </w:rPr>
              <w:t>mobile</w:t>
            </w:r>
            <w:r>
              <w:rPr>
                <w:lang w:val="en-US" w:eastAsia="fr-FR"/>
              </w:rPr>
              <w:t xml:space="preserve"> VSAT</w:t>
            </w:r>
            <w:r>
              <w:rPr>
                <w:lang w:eastAsia="fr-FR"/>
              </w:rPr>
              <w:t xml:space="preserve"> transmits at any one time on a given carrier frequency</w:t>
            </w:r>
            <w:r>
              <w:rPr>
                <w:lang w:val="en-US" w:eastAsia="fr-FR"/>
              </w:rPr>
              <w:t>. See sub-clause 4.2.</w:t>
            </w:r>
            <w:r>
              <w:rPr>
                <w:rFonts w:hint="eastAsia"/>
                <w:lang w:val="en-US" w:eastAsia="zh-CN"/>
              </w:rPr>
              <w:t>3</w:t>
            </w:r>
            <w:r>
              <w:rPr>
                <w:lang w:val="en-US" w:eastAsia="fr-FR"/>
              </w:rPr>
              <w:t xml:space="preserve">.2 in </w:t>
            </w:r>
            <w:r>
              <w:rPr>
                <w:rFonts w:hint="eastAsia"/>
                <w:lang w:val="en-US" w:eastAsia="fr-FR"/>
              </w:rPr>
              <w:t>EN 30</w:t>
            </w:r>
            <w:r>
              <w:rPr>
                <w:rFonts w:hint="eastAsia"/>
                <w:lang w:val="en-US" w:eastAsia="zh-CN"/>
              </w:rPr>
              <w:t>1 428</w:t>
            </w:r>
            <w:r>
              <w:rPr>
                <w:lang w:val="en-US" w:eastAsia="fr-FR"/>
              </w:rPr>
              <w:t>. The manufacturer shall declare the value of N.</w:t>
            </w:r>
          </w:p>
        </w:tc>
      </w:tr>
    </w:tbl>
    <w:p>
      <w:pPr>
        <w:rPr>
          <w:rFonts w:hint="default"/>
          <w:b/>
          <w:bCs/>
          <w:sz w:val="20"/>
          <w:szCs w:val="20"/>
          <w:lang w:val="en-US" w:eastAsia="zh-CN"/>
        </w:rPr>
      </w:pPr>
      <w:r>
        <w:rPr>
          <w:rFonts w:hint="eastAsia"/>
          <w:b/>
          <w:bCs/>
          <w:sz w:val="20"/>
          <w:szCs w:val="20"/>
          <w:lang w:val="en-US" w:eastAsia="zh-CN"/>
        </w:rPr>
        <w:t>Proposal 2: We propose to define off-axis EIRP density limits for cross-polarized component for CEPT Ku band as Table 2.1-2.</w:t>
      </w: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rPr>
      </w:pPr>
      <w:r>
        <w:rPr>
          <w:rFonts w:hint="eastAsia"/>
          <w:sz w:val="24"/>
          <w:szCs w:val="18"/>
          <w:lang w:val="en-US" w:eastAsia="zh-CN"/>
        </w:rPr>
        <w:t>2.2 On-axis spurious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1-2-</w:t>
            </w:r>
            <w:r>
              <w:rPr>
                <w:rFonts w:hint="eastAsia" w:eastAsia="PMingLiU"/>
                <w:sz w:val="20"/>
                <w:szCs w:val="20"/>
                <w:lang w:val="en-US" w:eastAsia="zh-TW"/>
              </w:rPr>
              <w:t>6</w:t>
            </w:r>
            <w:r>
              <w:rPr>
                <w:sz w:val="20"/>
                <w:szCs w:val="20"/>
                <w:lang w:val="en-US"/>
              </w:rPr>
              <w:t>:</w:t>
            </w:r>
            <w:r>
              <w:rPr>
                <w:rFonts w:hint="eastAsia" w:eastAsia="PMingLiU"/>
                <w:sz w:val="20"/>
                <w:szCs w:val="20"/>
                <w:lang w:val="en-US" w:eastAsia="zh-TW"/>
              </w:rPr>
              <w:t xml:space="preserve"> </w:t>
            </w:r>
            <w:r>
              <w:rPr>
                <w:rFonts w:eastAsia="PMingLiU"/>
                <w:sz w:val="20"/>
                <w:szCs w:val="20"/>
                <w:lang w:val="en-US" w:eastAsia="zh-TW"/>
              </w:rPr>
              <w:t>On-axis spurious</w:t>
            </w:r>
            <w:r>
              <w:rPr>
                <w:rFonts w:hint="eastAsia" w:eastAsia="PMingLiU"/>
                <w:sz w:val="20"/>
                <w:szCs w:val="20"/>
                <w:lang w:val="en-US" w:eastAsia="zh-TW"/>
              </w:rPr>
              <w:t xml:space="preserve"> requirements for the CEPT Ku band</w:t>
            </w:r>
          </w:p>
          <w:p>
            <w:pPr>
              <w:pStyle w:val="34"/>
              <w:keepNext/>
              <w:numPr>
                <w:ilvl w:val="0"/>
                <w:numId w:val="10"/>
              </w:numPr>
              <w:overflowPunct/>
              <w:autoSpaceDE/>
              <w:autoSpaceDN/>
              <w:adjustRightInd/>
              <w:spacing w:after="120" w:line="259" w:lineRule="auto"/>
              <w:ind w:left="709" w:firstLineChars="0"/>
              <w:textAlignment w:val="auto"/>
              <w:rPr>
                <w:rFonts w:eastAsiaTheme="minorEastAsia"/>
                <w:sz w:val="20"/>
                <w:szCs w:val="20"/>
                <w:lang w:val="en-US" w:eastAsia="zh-TW"/>
              </w:rPr>
            </w:pPr>
            <w:r>
              <w:rPr>
                <w:rFonts w:hint="eastAsia"/>
                <w:sz w:val="20"/>
                <w:szCs w:val="20"/>
                <w:lang w:val="en-US" w:eastAsia="zh-TW"/>
              </w:rPr>
              <w:t>F</w:t>
            </w:r>
            <w:r>
              <w:rPr>
                <w:sz w:val="20"/>
                <w:szCs w:val="20"/>
                <w:lang w:val="en-US" w:eastAsia="zh-TW"/>
              </w:rPr>
              <w:t xml:space="preserve">or the CEPT Ku band on-axis spurious requirements </w:t>
            </w:r>
          </w:p>
          <w:p>
            <w:pPr>
              <w:pStyle w:val="34"/>
              <w:keepNext/>
              <w:numPr>
                <w:ilvl w:val="1"/>
                <w:numId w:val="10"/>
              </w:numPr>
              <w:overflowPunct w:val="0"/>
              <w:autoSpaceDE w:val="0"/>
              <w:autoSpaceDN w:val="0"/>
              <w:adjustRightInd w:val="0"/>
              <w:spacing w:after="120" w:line="259" w:lineRule="auto"/>
              <w:ind w:firstLineChars="0"/>
              <w:textAlignment w:val="baseline"/>
              <w:rPr>
                <w:rFonts w:eastAsiaTheme="minorEastAsia"/>
                <w:sz w:val="20"/>
                <w:szCs w:val="20"/>
                <w:lang w:val="en-US" w:eastAsia="zh-TW"/>
              </w:rPr>
            </w:pPr>
            <w:r>
              <w:rPr>
                <w:rFonts w:hint="eastAsia" w:eastAsiaTheme="minorEastAsia"/>
                <w:sz w:val="20"/>
                <w:szCs w:val="20"/>
                <w:lang w:val="en-US" w:eastAsia="zh-TW"/>
              </w:rPr>
              <w:t>T</w:t>
            </w:r>
            <w:r>
              <w:rPr>
                <w:rFonts w:eastAsiaTheme="minorEastAsia"/>
                <w:sz w:val="20"/>
                <w:szCs w:val="20"/>
                <w:lang w:val="en-US" w:eastAsia="zh-TW"/>
              </w:rPr>
              <w:t xml:space="preserve">he On-axis spurious requirements for the “emissions disabled” and “carrier-off” </w:t>
            </w:r>
            <w:r>
              <w:rPr>
                <w:rFonts w:hint="eastAsia" w:eastAsiaTheme="minorEastAsia"/>
                <w:sz w:val="20"/>
                <w:szCs w:val="20"/>
                <w:lang w:val="en-US" w:eastAsia="zh-TW"/>
              </w:rPr>
              <w:t xml:space="preserve">will be set as </w:t>
            </w:r>
            <w:r>
              <w:rPr>
                <w:rFonts w:eastAsiaTheme="minorEastAsia"/>
                <w:sz w:val="20"/>
                <w:szCs w:val="20"/>
                <w:lang w:val="en-US" w:eastAsia="zh-TW"/>
              </w:rPr>
              <w:t xml:space="preserve">EIRP </w:t>
            </w:r>
            <w:r>
              <w:rPr>
                <w:rFonts w:hint="eastAsia" w:eastAsiaTheme="minorEastAsia"/>
                <w:sz w:val="20"/>
                <w:szCs w:val="20"/>
                <w:lang w:val="en-US" w:eastAsia="zh-TW"/>
              </w:rPr>
              <w:t>limit [9] dBm with measurement bandwidth [1</w:t>
            </w:r>
            <w:r>
              <w:rPr>
                <w:rFonts w:eastAsiaTheme="minorEastAsia"/>
                <w:sz w:val="20"/>
                <w:szCs w:val="20"/>
                <w:lang w:val="en-US" w:eastAsia="zh-TW"/>
              </w:rPr>
              <w:t>00 k</w:t>
            </w:r>
            <w:r>
              <w:rPr>
                <w:rFonts w:hint="eastAsia" w:eastAsiaTheme="minorEastAsia"/>
                <w:sz w:val="20"/>
                <w:szCs w:val="20"/>
                <w:lang w:val="en-US" w:eastAsia="zh-TW"/>
              </w:rPr>
              <w:t>Hz]</w:t>
            </w:r>
          </w:p>
          <w:p>
            <w:pPr>
              <w:pStyle w:val="34"/>
              <w:keepNext/>
              <w:numPr>
                <w:ilvl w:val="1"/>
                <w:numId w:val="10"/>
              </w:numPr>
              <w:overflowPunct/>
              <w:autoSpaceDE/>
              <w:autoSpaceDN/>
              <w:adjustRightInd/>
              <w:spacing w:after="120" w:line="259" w:lineRule="auto"/>
              <w:ind w:firstLineChars="0"/>
              <w:textAlignment w:val="auto"/>
              <w:rPr>
                <w:rFonts w:eastAsiaTheme="minorEastAsia"/>
                <w:sz w:val="20"/>
                <w:szCs w:val="20"/>
                <w:lang w:val="en-US" w:eastAsia="zh-TW"/>
              </w:rPr>
            </w:pPr>
            <w:r>
              <w:rPr>
                <w:rFonts w:hint="eastAsia" w:eastAsiaTheme="minorEastAsia"/>
                <w:sz w:val="20"/>
                <w:szCs w:val="20"/>
                <w:lang w:val="en-US" w:eastAsia="zh-TW"/>
              </w:rPr>
              <w:t xml:space="preserve">FFS for the </w:t>
            </w:r>
            <w:r>
              <w:rPr>
                <w:rFonts w:eastAsiaTheme="minorEastAsia"/>
                <w:sz w:val="20"/>
                <w:szCs w:val="20"/>
                <w:lang w:val="en-US" w:eastAsia="zh-TW"/>
              </w:rPr>
              <w:t>“carrier-on” state</w:t>
            </w:r>
          </w:p>
          <w:p>
            <w:pPr>
              <w:pStyle w:val="34"/>
              <w:keepNext/>
              <w:numPr>
                <w:ilvl w:val="1"/>
                <w:numId w:val="10"/>
              </w:numPr>
              <w:overflowPunct/>
              <w:autoSpaceDE/>
              <w:autoSpaceDN/>
              <w:adjustRightInd/>
              <w:spacing w:after="120" w:line="259" w:lineRule="auto"/>
              <w:ind w:firstLineChars="0"/>
              <w:textAlignment w:val="auto"/>
              <w:rPr>
                <w:rFonts w:eastAsiaTheme="minorEastAsia"/>
                <w:sz w:val="20"/>
                <w:szCs w:val="20"/>
                <w:lang w:val="en-US" w:eastAsia="zh-TW"/>
              </w:rPr>
            </w:pPr>
            <w:r>
              <w:rPr>
                <w:rFonts w:hint="eastAsia" w:eastAsiaTheme="minorEastAsia"/>
                <w:sz w:val="20"/>
                <w:szCs w:val="20"/>
                <w:lang w:val="en-US" w:eastAsia="zh-TW"/>
              </w:rPr>
              <w:t xml:space="preserve">Regulations of other </w:t>
            </w:r>
            <w:r>
              <w:rPr>
                <w:rFonts w:eastAsiaTheme="minorEastAsia"/>
                <w:sz w:val="20"/>
                <w:szCs w:val="20"/>
                <w:lang w:val="en-US" w:eastAsia="zh-TW"/>
              </w:rPr>
              <w:t>countries</w:t>
            </w:r>
            <w:r>
              <w:rPr>
                <w:rFonts w:hint="eastAsia" w:eastAsiaTheme="minorEastAsia"/>
                <w:sz w:val="20"/>
                <w:szCs w:val="20"/>
                <w:lang w:val="en-US" w:eastAsia="zh-TW"/>
              </w:rPr>
              <w:t xml:space="preserve"> can be further checked whether further adjustment is needed for the on</w:t>
            </w:r>
            <w:r>
              <w:rPr>
                <w:rFonts w:eastAsiaTheme="minorEastAsia"/>
                <w:sz w:val="20"/>
                <w:szCs w:val="20"/>
                <w:lang w:val="en-US" w:eastAsia="zh-TW"/>
              </w:rPr>
              <w:t>-axis spurious</w:t>
            </w:r>
            <w:r>
              <w:rPr>
                <w:rFonts w:hint="eastAsia" w:eastAsiaTheme="minorEastAsia"/>
                <w:sz w:val="20"/>
                <w:szCs w:val="20"/>
                <w:lang w:val="en-US" w:eastAsia="zh-TW"/>
              </w:rPr>
              <w:t xml:space="preserve"> requirement</w:t>
            </w:r>
          </w:p>
          <w:p>
            <w:pPr>
              <w:pStyle w:val="34"/>
              <w:keepNext/>
              <w:numPr>
                <w:ilvl w:val="0"/>
                <w:numId w:val="0"/>
              </w:numPr>
              <w:overflowPunct/>
              <w:autoSpaceDE/>
              <w:autoSpaceDN/>
              <w:adjustRightInd/>
              <w:spacing w:after="120" w:line="259" w:lineRule="auto"/>
              <w:ind w:left="1296" w:leftChars="0"/>
              <w:textAlignment w:val="auto"/>
              <w:rPr>
                <w:rFonts w:hint="eastAsia"/>
                <w:sz w:val="20"/>
                <w:szCs w:val="20"/>
                <w:vertAlign w:val="baseline"/>
                <w:lang w:val="en-US" w:eastAsia="zh-CN"/>
              </w:rPr>
            </w:pPr>
          </w:p>
        </w:tc>
      </w:tr>
    </w:tbl>
    <w:p>
      <w:pPr>
        <w:rPr>
          <w:rFonts w:hint="default" w:eastAsia="宋体"/>
          <w:sz w:val="20"/>
          <w:szCs w:val="20"/>
          <w:lang w:val="en-US" w:eastAsia="zh-CN"/>
        </w:rPr>
      </w:pPr>
      <w:r>
        <w:rPr>
          <w:rFonts w:hint="eastAsia"/>
          <w:sz w:val="20"/>
          <w:szCs w:val="20"/>
          <w:lang w:val="en-US" w:eastAsia="zh-CN"/>
        </w:rPr>
        <w:t xml:space="preserve">In last meeting, we reached an agreement on </w:t>
      </w:r>
      <w:r>
        <w:rPr>
          <w:rFonts w:hint="eastAsia" w:eastAsiaTheme="minorEastAsia"/>
          <w:sz w:val="20"/>
          <w:szCs w:val="20"/>
          <w:lang w:val="en-US" w:eastAsia="zh-CN"/>
        </w:rPr>
        <w:t>o</w:t>
      </w:r>
      <w:r>
        <w:rPr>
          <w:rFonts w:eastAsiaTheme="minorEastAsia"/>
          <w:sz w:val="20"/>
          <w:szCs w:val="20"/>
          <w:lang w:val="en-US" w:eastAsia="zh-TW"/>
        </w:rPr>
        <w:t>n-axis spurious requirements for the “emissions disabled” and “carrier-off”</w:t>
      </w:r>
      <w:r>
        <w:rPr>
          <w:rFonts w:hint="eastAsia" w:eastAsia="宋体"/>
          <w:sz w:val="20"/>
          <w:szCs w:val="20"/>
          <w:lang w:val="en-US" w:eastAsia="zh-CN"/>
        </w:rPr>
        <w:t xml:space="preserve">. </w:t>
      </w:r>
      <w:r>
        <w:rPr>
          <w:rFonts w:hint="eastAsia"/>
          <w:sz w:val="20"/>
          <w:szCs w:val="20"/>
          <w:lang w:val="en-US" w:eastAsia="zh-CN"/>
        </w:rPr>
        <w:t xml:space="preserve">For </w:t>
      </w:r>
      <w:r>
        <w:rPr>
          <w:rFonts w:eastAsiaTheme="minorEastAsia"/>
          <w:sz w:val="20"/>
          <w:szCs w:val="20"/>
          <w:lang w:val="en-US" w:eastAsia="zh-TW"/>
        </w:rPr>
        <w:t>“carrier-on” state</w:t>
      </w:r>
      <w:r>
        <w:rPr>
          <w:rFonts w:hint="eastAsia" w:eastAsiaTheme="minorEastAsia"/>
          <w:sz w:val="20"/>
          <w:szCs w:val="20"/>
          <w:lang w:val="en-US" w:eastAsia="zh-CN"/>
        </w:rPr>
        <w:t xml:space="preserve">, we need further discussion. </w:t>
      </w:r>
      <w:r>
        <w:rPr>
          <w:rFonts w:hint="eastAsia" w:eastAsia="宋体"/>
          <w:sz w:val="20"/>
          <w:szCs w:val="20"/>
          <w:lang w:val="en-US" w:eastAsia="zh-CN"/>
        </w:rPr>
        <w:t xml:space="preserve">Based on </w:t>
      </w:r>
      <w:r>
        <w:rPr>
          <w:rFonts w:hint="eastAsia"/>
          <w:sz w:val="20"/>
          <w:szCs w:val="20"/>
          <w:lang w:val="en-US" w:eastAsia="zh-CN"/>
        </w:rPr>
        <w:t xml:space="preserve">the following picture cited in [3], it can be found that </w:t>
      </w:r>
      <w:r>
        <w:rPr>
          <w:rFonts w:hint="eastAsia" w:eastAsia="PMingLiU"/>
          <w:sz w:val="20"/>
          <w:szCs w:val="20"/>
          <w:lang w:eastAsia="zh-TW"/>
        </w:rPr>
        <w:t>EN 303 980</w:t>
      </w:r>
      <w:r>
        <w:rPr>
          <w:rFonts w:hint="eastAsia" w:eastAsia="宋体"/>
          <w:sz w:val="20"/>
          <w:szCs w:val="20"/>
          <w:lang w:val="en-US" w:eastAsia="zh-CN"/>
        </w:rPr>
        <w:t xml:space="preserve"> and</w:t>
      </w:r>
      <w:r>
        <w:rPr>
          <w:rFonts w:hint="eastAsia" w:eastAsia="PMingLiU"/>
          <w:sz w:val="20"/>
          <w:szCs w:val="20"/>
          <w:lang w:eastAsia="zh-TW"/>
        </w:rPr>
        <w:t xml:space="preserve"> EN 303 981</w:t>
      </w:r>
      <w:r>
        <w:rPr>
          <w:rFonts w:hint="eastAsia" w:eastAsia="宋体"/>
          <w:sz w:val="20"/>
          <w:szCs w:val="20"/>
          <w:lang w:val="en-US" w:eastAsia="zh-CN"/>
        </w:rPr>
        <w:t xml:space="preserve"> apply for mobile VSAT with NGSO, and E</w:t>
      </w:r>
      <w:r>
        <w:rPr>
          <w:rFonts w:hint="eastAsia" w:eastAsia="PMingLiU"/>
          <w:sz w:val="20"/>
          <w:szCs w:val="20"/>
          <w:lang w:eastAsia="zh-TW"/>
        </w:rPr>
        <w:t>N 302 977</w:t>
      </w:r>
      <w:r>
        <w:rPr>
          <w:rFonts w:hint="eastAsia" w:eastAsia="宋体"/>
          <w:sz w:val="20"/>
          <w:szCs w:val="20"/>
          <w:lang w:val="en-US" w:eastAsia="zh-CN"/>
        </w:rPr>
        <w:t xml:space="preserve"> is applied for mobile VSAT with GSO</w:t>
      </w:r>
      <w:r>
        <w:rPr>
          <w:rFonts w:hint="eastAsia"/>
          <w:sz w:val="20"/>
          <w:szCs w:val="20"/>
          <w:lang w:val="en-US" w:eastAsia="zh-CN"/>
        </w:rPr>
        <w:t>.</w:t>
      </w:r>
    </w:p>
    <w:p>
      <w:pPr>
        <w:rPr>
          <w:rFonts w:hint="eastAsia"/>
          <w:lang w:val="en-US" w:eastAsia="zh-CN"/>
        </w:rPr>
      </w:pPr>
      <w:r>
        <w:drawing>
          <wp:inline distT="0" distB="0" distL="0" distR="0">
            <wp:extent cx="6264275" cy="2560955"/>
            <wp:effectExtent l="0" t="0" r="0" b="146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15"/>
                    <a:stretch>
                      <a:fillRect/>
                    </a:stretch>
                  </pic:blipFill>
                  <pic:spPr>
                    <a:xfrm>
                      <a:off x="0" y="0"/>
                      <a:ext cx="6264275" cy="2560955"/>
                    </a:xfrm>
                    <a:prstGeom prst="rect">
                      <a:avLst/>
                    </a:prstGeom>
                  </pic:spPr>
                </pic:pic>
              </a:graphicData>
            </a:graphic>
          </wp:inline>
        </w:drawing>
      </w:r>
    </w:p>
    <w:p>
      <w:pPr>
        <w:bidi w:val="0"/>
        <w:jc w:val="both"/>
        <w:rPr>
          <w:rFonts w:hint="eastAsia"/>
          <w:b/>
          <w:bCs/>
          <w:lang w:val="en-US" w:eastAsia="zh-CN"/>
        </w:rPr>
      </w:pPr>
      <w:r>
        <w:rPr>
          <w:rFonts w:hint="eastAsia"/>
          <w:b/>
          <w:bCs/>
          <w:lang w:val="en-US" w:eastAsia="zh-CN"/>
        </w:rPr>
        <w:t xml:space="preserve">On-axis spurious requirement in </w:t>
      </w:r>
      <w:r>
        <w:rPr>
          <w:rFonts w:hint="default"/>
          <w:b/>
          <w:bCs/>
          <w:lang w:val="en-US" w:eastAsia="zh-CN"/>
        </w:rPr>
        <w:t>“</w:t>
      </w:r>
      <w:r>
        <w:rPr>
          <w:rFonts w:hint="eastAsia"/>
          <w:b/>
          <w:bCs/>
          <w:lang w:val="en-US" w:eastAsia="zh-CN"/>
        </w:rPr>
        <w:t>Carrier-on</w:t>
      </w:r>
      <w:r>
        <w:rPr>
          <w:rFonts w:hint="default"/>
          <w:b/>
          <w:bCs/>
          <w:lang w:val="en-US" w:eastAsia="zh-CN"/>
        </w:rPr>
        <w:t>”</w:t>
      </w:r>
      <w:r>
        <w:rPr>
          <w:rFonts w:hint="eastAsia"/>
          <w:b/>
          <w:bCs/>
          <w:lang w:val="en-US" w:eastAsia="zh-CN"/>
        </w:rPr>
        <w:t xml:space="preserve"> state</w:t>
      </w:r>
    </w:p>
    <w:p>
      <w:pPr>
        <w:bidi w:val="0"/>
        <w:jc w:val="both"/>
        <w:rPr>
          <w:rFonts w:hint="eastAsia"/>
          <w:b/>
          <w:bCs/>
          <w:lang w:val="en-US" w:eastAsia="zh-CN"/>
        </w:rPr>
      </w:pPr>
      <w:r>
        <w:rPr>
          <w:rFonts w:hint="eastAsia"/>
          <w:b/>
          <w:bCs/>
          <w:lang w:val="en-US" w:eastAsia="zh-CN"/>
        </w:rPr>
        <w:t>EN 302 977</w:t>
      </w:r>
    </w:p>
    <w:p>
      <w:pPr>
        <w:bidi w:val="0"/>
        <w:jc w:val="center"/>
        <w:rPr>
          <w:sz w:val="20"/>
          <w:szCs w:val="20"/>
        </w:rPr>
      </w:pPr>
      <w:r>
        <w:rPr>
          <w:sz w:val="20"/>
          <w:szCs w:val="20"/>
        </w:rPr>
        <w:drawing>
          <wp:inline distT="0" distB="0" distL="114300" distR="114300">
            <wp:extent cx="4544060" cy="831850"/>
            <wp:effectExtent l="116840" t="86360" r="337820" b="31623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16"/>
                    <a:stretch>
                      <a:fillRect/>
                    </a:stretch>
                  </pic:blipFill>
                  <pic:spPr>
                    <a:xfrm>
                      <a:off x="0" y="0"/>
                      <a:ext cx="4544060" cy="83185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default"/>
          <w:b/>
          <w:bCs/>
          <w:lang w:val="en-US" w:eastAsia="zh-CN"/>
        </w:rPr>
      </w:pPr>
      <w:r>
        <w:rPr>
          <w:rFonts w:hint="eastAsia"/>
          <w:b/>
          <w:bCs/>
          <w:lang w:val="en-US" w:eastAsia="zh-CN"/>
        </w:rPr>
        <w:t>EN 303 980, EN 303 981</w:t>
      </w:r>
    </w:p>
    <w:p>
      <w:pPr>
        <w:bidi w:val="0"/>
        <w:jc w:val="center"/>
        <w:rPr>
          <w:color w:val="0000FF"/>
        </w:rPr>
      </w:pPr>
      <w:r>
        <w:rPr>
          <w:color w:val="0000FF"/>
        </w:rPr>
        <w:drawing>
          <wp:inline distT="0" distB="0" distL="114300" distR="114300">
            <wp:extent cx="4686300" cy="274320"/>
            <wp:effectExtent l="116840" t="85725" r="332740" b="32575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7"/>
                    <a:srcRect b="52409"/>
                    <a:stretch>
                      <a:fillRect/>
                    </a:stretch>
                  </pic:blipFill>
                  <pic:spPr>
                    <a:xfrm>
                      <a:off x="0" y="0"/>
                      <a:ext cx="4686300" cy="27432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eastAsia"/>
          <w:sz w:val="20"/>
          <w:szCs w:val="20"/>
          <w:lang w:val="en-US" w:eastAsia="zh-CN"/>
        </w:rPr>
      </w:pPr>
      <w:r>
        <w:rPr>
          <w:rFonts w:hint="eastAsia"/>
          <w:sz w:val="20"/>
          <w:szCs w:val="20"/>
          <w:lang w:val="en-US" w:eastAsia="zh-CN"/>
        </w:rPr>
        <w:t xml:space="preserve">For on-axis spurious limits in </w:t>
      </w:r>
      <w:r>
        <w:rPr>
          <w:rFonts w:hint="default"/>
          <w:sz w:val="20"/>
          <w:szCs w:val="20"/>
          <w:lang w:val="en-US" w:eastAsia="zh-CN"/>
        </w:rPr>
        <w:t>“</w:t>
      </w:r>
      <w:r>
        <w:rPr>
          <w:rFonts w:hint="eastAsia"/>
          <w:sz w:val="20"/>
          <w:szCs w:val="20"/>
          <w:lang w:val="en-US" w:eastAsia="zh-CN"/>
        </w:rPr>
        <w:t>Carrier-on</w:t>
      </w:r>
      <w:r>
        <w:rPr>
          <w:rFonts w:hint="default"/>
          <w:sz w:val="20"/>
          <w:szCs w:val="20"/>
          <w:lang w:val="en-US" w:eastAsia="zh-CN"/>
        </w:rPr>
        <w:t>”</w:t>
      </w:r>
      <w:r>
        <w:rPr>
          <w:rFonts w:hint="eastAsia"/>
          <w:sz w:val="20"/>
          <w:szCs w:val="20"/>
          <w:lang w:val="en-US" w:eastAsia="zh-CN"/>
        </w:rPr>
        <w:t xml:space="preserve"> state, EN 302 977 gives different requirements for outside and inside with dBW in any 100 kHz for Ku band in UL 14.0–14.5 GHz </w:t>
      </w:r>
      <w:r>
        <w:rPr>
          <w:rFonts w:hint="eastAsia" w:eastAsia="宋体"/>
          <w:sz w:val="20"/>
          <w:szCs w:val="20"/>
          <w:lang w:val="en-US" w:eastAsia="zh-CN"/>
        </w:rPr>
        <w:t>for mobile VSAT with GSO</w:t>
      </w:r>
      <w:r>
        <w:rPr>
          <w:rFonts w:hint="eastAsia"/>
          <w:sz w:val="20"/>
          <w:szCs w:val="20"/>
          <w:lang w:val="en-US" w:eastAsia="zh-CN"/>
        </w:rPr>
        <w:t>. However, EN 303 980 and EN 303 981 define the same requirement for both outside and inside as 44-K dBm/MHz for mobile VSAT with NGSO. For simplification, we propose to use the most stringent requirement for both NGSO and GSO as follows.</w:t>
      </w:r>
    </w:p>
    <w:p>
      <w:pPr>
        <w:pStyle w:val="56"/>
        <w:rPr>
          <w:lang w:val="en-US"/>
        </w:rPr>
      </w:pPr>
      <w:r>
        <w:rPr>
          <w:lang w:val="en-US"/>
        </w:rPr>
        <w:t>Table 2.2-1: On-axis spurious limits in “Carrier-on” state - outside</w:t>
      </w:r>
    </w:p>
    <w:tbl>
      <w:tblPr>
        <w:tblStyle w:val="24"/>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(GHz)</w:t>
            </w:r>
          </w:p>
        </w:tc>
        <w:tc>
          <w:tcPr>
            <w:tcW w:w="2410"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NTN VSAT type</w:t>
            </w:r>
          </w:p>
        </w:tc>
        <w:tc>
          <w:tcPr>
            <w:tcW w:w="2693"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(dBm)</w:t>
            </w:r>
          </w:p>
        </w:tc>
        <w:tc>
          <w:tcPr>
            <w:tcW w:w="2410"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w:t>
            </w:r>
            <w:r>
              <w:rPr>
                <w:rFonts w:hint="eastAsia"/>
                <w:lang w:val="en-US" w:eastAsia="zh-CN"/>
              </w:rPr>
              <w:t>k</w:t>
            </w:r>
            <w:r>
              <w:rPr>
                <w:lang w:val="en-US"/>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rFonts w:hint="eastAsia"/>
                <w:lang w:val="en-US" w:eastAsia="zh-CN"/>
              </w:rPr>
              <w:t>14.0</w:t>
            </w:r>
            <w:r>
              <w:rPr>
                <w:lang w:val="en-US"/>
              </w:rPr>
              <w:t xml:space="preserve"> – </w:t>
            </w:r>
            <w:r>
              <w:rPr>
                <w:rFonts w:hint="eastAsia"/>
                <w:lang w:val="en-US" w:eastAsia="zh-CN"/>
              </w:rPr>
              <w:t>14.5</w:t>
            </w:r>
          </w:p>
        </w:tc>
        <w:tc>
          <w:tcPr>
            <w:tcW w:w="2410"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4, 5</w:t>
            </w:r>
          </w:p>
        </w:tc>
        <w:tc>
          <w:tcPr>
            <w:tcW w:w="269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rFonts w:hint="eastAsia"/>
                <w:lang w:val="en-US" w:eastAsia="zh-CN"/>
              </w:rPr>
              <w:t>3</w:t>
            </w:r>
            <w:r>
              <w:rPr>
                <w:lang w:val="en-US"/>
              </w:rPr>
              <w:t>4 - K (NOTE)</w:t>
            </w:r>
          </w:p>
        </w:tc>
        <w:tc>
          <w:tcPr>
            <w:tcW w:w="2410"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lang w:val="en-US"/>
              </w:rPr>
              <w:t>1</w:t>
            </w:r>
            <w:r>
              <w:rPr>
                <w:rFonts w:hint="eastAsia"/>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w:t>
            </w:r>
            <w:r>
              <w:rPr>
                <w:rFonts w:hint="eastAsia"/>
                <w:lang w:val="en-US" w:eastAsia="zh-CN"/>
              </w:rPr>
              <w:t>EN 302 977</w:t>
            </w:r>
            <w:r>
              <w:rPr>
                <w:lang w:val="en-US" w:eastAsia="fr-FR"/>
              </w:rPr>
              <w:t>. The manufacturer shall declare the value of N.</w:t>
            </w:r>
          </w:p>
        </w:tc>
      </w:tr>
    </w:tbl>
    <w:p>
      <w:pPr>
        <w:rPr>
          <w:lang w:val="en-US"/>
        </w:rPr>
      </w:pPr>
    </w:p>
    <w:p>
      <w:pPr>
        <w:pStyle w:val="56"/>
        <w:rPr>
          <w:lang w:val="en-US"/>
        </w:rPr>
      </w:pPr>
      <w:r>
        <w:rPr>
          <w:lang w:val="en-US"/>
        </w:rPr>
        <w:t>Table 2.2-2: On-axis spurious limits in “Carrier-on” state - inside</w:t>
      </w:r>
    </w:p>
    <w:tbl>
      <w:tblPr>
        <w:tblStyle w:val="24"/>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(GHz)</w:t>
            </w:r>
          </w:p>
        </w:tc>
        <w:tc>
          <w:tcPr>
            <w:tcW w:w="24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NTN VSAT type</w:t>
            </w:r>
          </w:p>
        </w:tc>
        <w:tc>
          <w:tcPr>
            <w:tcW w:w="2693"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(dBm)</w:t>
            </w:r>
          </w:p>
        </w:tc>
        <w:tc>
          <w:tcPr>
            <w:tcW w:w="24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w:t>
            </w:r>
            <w:r>
              <w:rPr>
                <w:rFonts w:hint="eastAsia"/>
                <w:lang w:val="en-US" w:eastAsia="zh-CN"/>
              </w:rPr>
              <w:t>k</w:t>
            </w:r>
            <w:r>
              <w:rPr>
                <w:lang w:val="en-US"/>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14.0</w:t>
            </w:r>
            <w:r>
              <w:rPr>
                <w:lang w:val="en-US"/>
              </w:rPr>
              <w:t xml:space="preserve"> – </w:t>
            </w:r>
            <w:r>
              <w:rPr>
                <w:rFonts w:hint="eastAsia"/>
                <w:lang w:val="en-US" w:eastAsia="zh-CN"/>
              </w:rPr>
              <w:t>14.5</w:t>
            </w:r>
          </w:p>
        </w:tc>
        <w:tc>
          <w:tcPr>
            <w:tcW w:w="24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rPr>
              <w:t>4</w:t>
            </w:r>
            <w:r>
              <w:rPr>
                <w:lang w:val="en-US"/>
              </w:rPr>
              <w:t>, 5</w:t>
            </w:r>
          </w:p>
        </w:tc>
        <w:tc>
          <w:tcPr>
            <w:tcW w:w="269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4</w:t>
            </w:r>
            <w:r>
              <w:rPr>
                <w:lang w:val="en-US"/>
              </w:rPr>
              <w:t>8 - K (NOTE)</w:t>
            </w:r>
          </w:p>
        </w:tc>
        <w:tc>
          <w:tcPr>
            <w:tcW w:w="24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1</w:t>
            </w:r>
            <w:r>
              <w:rPr>
                <w:rFonts w:hint="eastAsia"/>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w:t>
            </w:r>
            <w:r>
              <w:rPr>
                <w:rFonts w:hint="eastAsia"/>
                <w:lang w:val="en-US" w:eastAsia="zh-CN"/>
              </w:rPr>
              <w:t>EN 302 977</w:t>
            </w:r>
            <w:r>
              <w:rPr>
                <w:lang w:val="en-US" w:eastAsia="fr-FR"/>
              </w:rPr>
              <w:t>. The manufacturer shall declare the value of N.</w:t>
            </w:r>
          </w:p>
        </w:tc>
      </w:tr>
    </w:tbl>
    <w:p>
      <w:pPr>
        <w:bidi w:val="0"/>
        <w:jc w:val="both"/>
        <w:rPr>
          <w:rFonts w:hint="eastAsia"/>
          <w:b/>
          <w:bCs/>
          <w:sz w:val="20"/>
          <w:szCs w:val="20"/>
          <w:lang w:val="en-US" w:eastAsia="zh-CN"/>
        </w:rPr>
      </w:pPr>
      <w:r>
        <w:rPr>
          <w:rFonts w:hint="eastAsia"/>
          <w:b/>
          <w:bCs/>
          <w:sz w:val="20"/>
          <w:szCs w:val="20"/>
          <w:lang w:val="en-US" w:eastAsia="zh-CN"/>
        </w:rPr>
        <w:t xml:space="preserve">Proposal 3: </w:t>
      </w:r>
      <w:r>
        <w:rPr>
          <w:rFonts w:hint="eastAsia"/>
          <w:b/>
          <w:bCs/>
          <w:sz w:val="20"/>
          <w:szCs w:val="18"/>
          <w:lang w:val="en-US" w:eastAsia="zh-CN"/>
        </w:rPr>
        <w:t xml:space="preserve">It is proposed to define on-axis spurious limits in </w:t>
      </w:r>
      <w:r>
        <w:rPr>
          <w:rFonts w:hint="default"/>
          <w:b/>
          <w:bCs/>
          <w:sz w:val="20"/>
          <w:szCs w:val="18"/>
          <w:lang w:val="en-US" w:eastAsia="zh-CN"/>
        </w:rPr>
        <w:t>“</w:t>
      </w:r>
      <w:r>
        <w:rPr>
          <w:rFonts w:hint="eastAsia"/>
          <w:b/>
          <w:bCs/>
          <w:sz w:val="20"/>
          <w:szCs w:val="18"/>
          <w:lang w:val="en-US" w:eastAsia="zh-CN"/>
        </w:rPr>
        <w:t>Carrier-on</w:t>
      </w:r>
      <w:r>
        <w:rPr>
          <w:rFonts w:hint="default"/>
          <w:b/>
          <w:bCs/>
          <w:sz w:val="20"/>
          <w:szCs w:val="18"/>
          <w:lang w:val="en-US" w:eastAsia="zh-CN"/>
        </w:rPr>
        <w:t>”</w:t>
      </w:r>
      <w:r>
        <w:rPr>
          <w:rFonts w:hint="eastAsia"/>
          <w:b/>
          <w:bCs/>
          <w:sz w:val="20"/>
          <w:szCs w:val="18"/>
          <w:lang w:val="en-US" w:eastAsia="zh-CN"/>
        </w:rPr>
        <w:t xml:space="preserve"> state for CEPT Ku band as Table 2.2-1 and 2.2-2.</w:t>
      </w:r>
    </w:p>
    <w:p>
      <w:pPr>
        <w:bidi w:val="0"/>
        <w:jc w:val="both"/>
        <w:rPr>
          <w:rFonts w:hint="eastAsia"/>
          <w:b/>
          <w:bCs/>
          <w:sz w:val="20"/>
          <w:szCs w:val="20"/>
          <w:lang w:val="en-US" w:eastAsia="zh-CN"/>
        </w:rPr>
      </w:pPr>
    </w:p>
    <w:p>
      <w:pPr>
        <w:pStyle w:val="3"/>
        <w:keepNext w:val="0"/>
        <w:keepLines w:val="0"/>
        <w:pageBreakBefore w:val="0"/>
        <w:widowControl w:val="0"/>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rPr>
      </w:pPr>
      <w:r>
        <w:rPr>
          <w:rFonts w:hint="eastAsia"/>
          <w:sz w:val="24"/>
          <w:szCs w:val="18"/>
          <w:lang w:val="en-US" w:eastAsia="zh-CN"/>
        </w:rPr>
        <w:t>2.3 Off</w:t>
      </w:r>
      <w:r>
        <w:rPr>
          <w:rFonts w:hint="eastAsia"/>
          <w:sz w:val="24"/>
          <w:szCs w:val="18"/>
          <w:lang w:val="en-US"/>
        </w:rPr>
        <w:t>-axis spurious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Issue 1-2-</w:t>
            </w:r>
            <w:r>
              <w:rPr>
                <w:rFonts w:hint="eastAsia" w:eastAsia="PMingLiU"/>
                <w:sz w:val="20"/>
                <w:szCs w:val="20"/>
                <w:lang w:val="en-US" w:eastAsia="zh-TW"/>
              </w:rPr>
              <w:t>7</w:t>
            </w:r>
            <w:r>
              <w:rPr>
                <w:sz w:val="20"/>
                <w:szCs w:val="20"/>
                <w:lang w:val="en-US"/>
              </w:rPr>
              <w:t>:</w:t>
            </w:r>
            <w:r>
              <w:rPr>
                <w:rFonts w:hint="eastAsia" w:eastAsia="PMingLiU"/>
                <w:sz w:val="20"/>
                <w:szCs w:val="20"/>
                <w:lang w:val="en-US" w:eastAsia="zh-TW"/>
              </w:rPr>
              <w:t xml:space="preserve"> Off</w:t>
            </w:r>
            <w:r>
              <w:rPr>
                <w:rFonts w:eastAsia="PMingLiU"/>
                <w:sz w:val="20"/>
                <w:szCs w:val="20"/>
                <w:lang w:val="en-US" w:eastAsia="zh-TW"/>
              </w:rPr>
              <w:t>-axis spurious</w:t>
            </w:r>
            <w:r>
              <w:rPr>
                <w:rFonts w:hint="eastAsia" w:eastAsia="PMingLiU"/>
                <w:sz w:val="20"/>
                <w:szCs w:val="20"/>
                <w:lang w:val="en-US" w:eastAsia="zh-TW"/>
              </w:rPr>
              <w:t xml:space="preserve"> requirements for the CEPT Ku band</w:t>
            </w:r>
          </w:p>
          <w:p>
            <w:pPr>
              <w:pStyle w:val="34"/>
              <w:keepNext/>
              <w:numPr>
                <w:ilvl w:val="0"/>
                <w:numId w:val="10"/>
              </w:numPr>
              <w:overflowPunct/>
              <w:autoSpaceDE/>
              <w:autoSpaceDN/>
              <w:adjustRightInd/>
              <w:spacing w:after="120" w:line="259" w:lineRule="auto"/>
              <w:ind w:left="709" w:firstLineChars="0"/>
              <w:textAlignment w:val="auto"/>
              <w:rPr>
                <w:rFonts w:eastAsiaTheme="minorEastAsia"/>
                <w:sz w:val="20"/>
                <w:szCs w:val="20"/>
                <w:lang w:val="en-US" w:eastAsia="zh-TW"/>
              </w:rPr>
            </w:pPr>
            <w:r>
              <w:rPr>
                <w:rFonts w:hint="eastAsia" w:eastAsiaTheme="minorEastAsia"/>
                <w:sz w:val="20"/>
                <w:szCs w:val="20"/>
                <w:lang w:val="en-US" w:eastAsia="zh-TW"/>
              </w:rPr>
              <w:t xml:space="preserve">For the </w:t>
            </w:r>
            <w:r>
              <w:rPr>
                <w:rFonts w:eastAsiaTheme="minorEastAsia"/>
                <w:sz w:val="20"/>
                <w:szCs w:val="20"/>
                <w:lang w:val="en-US" w:eastAsia="zh-TW"/>
              </w:rPr>
              <w:t>Off-axis spurious requirements for the CEPT Ku band</w:t>
            </w:r>
          </w:p>
          <w:p>
            <w:pPr>
              <w:pStyle w:val="34"/>
              <w:keepNext/>
              <w:numPr>
                <w:ilvl w:val="1"/>
                <w:numId w:val="10"/>
              </w:numPr>
              <w:overflowPunct/>
              <w:autoSpaceDE/>
              <w:autoSpaceDN/>
              <w:adjustRightInd/>
              <w:spacing w:after="120" w:line="259" w:lineRule="auto"/>
              <w:ind w:firstLineChars="0"/>
              <w:textAlignment w:val="auto"/>
              <w:rPr>
                <w:rFonts w:eastAsiaTheme="minorEastAsia"/>
                <w:sz w:val="20"/>
                <w:szCs w:val="20"/>
                <w:lang w:val="en-US" w:eastAsia="zh-TW"/>
              </w:rPr>
            </w:pPr>
            <w:r>
              <w:rPr>
                <w:rFonts w:eastAsiaTheme="minorEastAsia"/>
                <w:sz w:val="20"/>
                <w:szCs w:val="20"/>
                <w:lang w:val="en-US" w:eastAsia="zh-TW"/>
              </w:rPr>
              <w:t>Specify the Off-axis spurious general requirement at 10 meters distance according to table</w:t>
            </w:r>
            <w:r>
              <w:rPr>
                <w:rFonts w:hint="eastAsia" w:eastAsiaTheme="minorEastAsia"/>
                <w:sz w:val="20"/>
                <w:szCs w:val="20"/>
                <w:lang w:val="en-US" w:eastAsia="zh-TW"/>
              </w:rPr>
              <w:t xml:space="preserve"> 1.2.6-1 for the CEPT Ku band</w:t>
            </w:r>
          </w:p>
          <w:p>
            <w:pPr>
              <w:pStyle w:val="34"/>
              <w:keepNext/>
              <w:overflowPunct/>
              <w:autoSpaceDE/>
              <w:autoSpaceDN/>
              <w:adjustRightInd/>
              <w:spacing w:after="120" w:line="259" w:lineRule="auto"/>
              <w:ind w:left="1656" w:firstLine="0" w:firstLineChars="0"/>
              <w:jc w:val="center"/>
              <w:textAlignment w:val="auto"/>
              <w:rPr>
                <w:rFonts w:eastAsiaTheme="minorEastAsia"/>
                <w:sz w:val="20"/>
                <w:szCs w:val="20"/>
                <w:lang w:val="en-US" w:eastAsia="zh-TW"/>
              </w:rPr>
            </w:pPr>
            <w:r>
              <w:rPr>
                <w:rFonts w:hint="eastAsia" w:eastAsiaTheme="minorEastAsia"/>
                <w:sz w:val="20"/>
                <w:szCs w:val="20"/>
                <w:lang w:val="en-US" w:eastAsia="zh-TW"/>
              </w:rPr>
              <w:t>Table 1-2-6.1</w:t>
            </w:r>
          </w:p>
          <w:tbl>
            <w:tblPr>
              <w:tblStyle w:val="24"/>
              <w:tblW w:w="6237" w:type="dxa"/>
              <w:tblInd w:w="26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457"/>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Frequency range</w:t>
                  </w:r>
                </w:p>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(MHz)</w:t>
                  </w:r>
                </w:p>
              </w:tc>
              <w:tc>
                <w:tcPr>
                  <w:tcW w:w="2457"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lang w:eastAsia="zh-TW"/>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EIRP Limit</w:t>
                  </w:r>
                  <w:r>
                    <w:rPr>
                      <w:rFonts w:hint="eastAsia" w:eastAsia="Yu Mincho"/>
                      <w:color w:val="0D0D0D" w:themeColor="text1" w:themeTint="F2"/>
                      <w:sz w:val="20"/>
                      <w:szCs w:val="20"/>
                      <w:lang w:val="en-US" w:eastAsia="zh-TW"/>
                      <w14:textFill>
                        <w14:solidFill>
                          <w14:schemeClr w14:val="tx1">
                            <w14:lumMod w14:val="95000"/>
                            <w14:lumOff w14:val="5000"/>
                          </w14:schemeClr>
                        </w14:solidFill>
                      </w14:textFill>
                    </w:rPr>
                    <w:t xml:space="preserve"> </w:t>
                  </w:r>
                </w:p>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(dBμV/m)</w:t>
                  </w:r>
                </w:p>
              </w:tc>
              <w:tc>
                <w:tcPr>
                  <w:tcW w:w="2079"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Measurement bandwidth</w:t>
                  </w:r>
                  <w:r>
                    <w:rPr>
                      <w:rFonts w:hint="eastAsia" w:eastAsia="Yu Mincho"/>
                      <w:color w:val="0D0D0D" w:themeColor="text1" w:themeTint="F2"/>
                      <w:sz w:val="20"/>
                      <w:szCs w:val="20"/>
                      <w:lang w:val="en-US" w:eastAsia="zh-TW"/>
                      <w14:textFill>
                        <w14:solidFill>
                          <w14:schemeClr w14:val="tx1">
                            <w14:lumMod w14:val="95000"/>
                            <w14:lumOff w14:val="5000"/>
                          </w14:schemeClr>
                        </w14:solidFill>
                      </w14:textFill>
                    </w:rPr>
                    <w:t xml:space="preserve"> </w:t>
                  </w:r>
                  <w:r>
                    <w:rPr>
                      <w:rFonts w:eastAsia="Yu Mincho"/>
                      <w:color w:val="0D0D0D" w:themeColor="text1" w:themeTint="F2"/>
                      <w:sz w:val="20"/>
                      <w:szCs w:val="20"/>
                      <w:lang w:val="en-US"/>
                      <w14:textFill>
                        <w14:solidFill>
                          <w14:schemeClr w14:val="tx1">
                            <w14:lumMod w14:val="95000"/>
                            <w14:lumOff w14:val="5000"/>
                          </w14:schemeClr>
                        </w14:solidFill>
                      </w14:textFill>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30 – 230</w:t>
                  </w:r>
                </w:p>
              </w:tc>
              <w:tc>
                <w:tcPr>
                  <w:tcW w:w="2457"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30</w:t>
                  </w:r>
                </w:p>
              </w:tc>
              <w:tc>
                <w:tcPr>
                  <w:tcW w:w="2079"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230 – 1000</w:t>
                  </w:r>
                </w:p>
              </w:tc>
              <w:tc>
                <w:tcPr>
                  <w:tcW w:w="2457"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37</w:t>
                  </w:r>
                </w:p>
              </w:tc>
              <w:tc>
                <w:tcPr>
                  <w:tcW w:w="2079"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rFonts w:eastAsia="Yu Mincho"/>
                      <w:color w:val="0D0D0D" w:themeColor="text1" w:themeTint="F2"/>
                      <w:sz w:val="20"/>
                      <w:szCs w:val="20"/>
                      <w14:textFill>
                        <w14:solidFill>
                          <w14:schemeClr w14:val="tx1">
                            <w14:lumMod w14:val="95000"/>
                            <w14:lumOff w14:val="5000"/>
                          </w14:schemeClr>
                        </w14:solidFill>
                      </w14:textFill>
                    </w:rPr>
                  </w:pPr>
                  <w:r>
                    <w:rPr>
                      <w:rFonts w:eastAsia="Yu Mincho"/>
                      <w:color w:val="0D0D0D" w:themeColor="text1" w:themeTint="F2"/>
                      <w:sz w:val="20"/>
                      <w:szCs w:val="20"/>
                      <w:lang w:val="en-US"/>
                      <w14:textFill>
                        <w14:solidFill>
                          <w14:schemeClr w14:val="tx1">
                            <w14:lumMod w14:val="95000"/>
                            <w14:lumOff w14:val="5000"/>
                          </w14:schemeClr>
                        </w14:solidFill>
                      </w14:textFill>
                    </w:rPr>
                    <w:t>120</w:t>
                  </w:r>
                </w:p>
              </w:tc>
            </w:tr>
          </w:tbl>
          <w:p>
            <w:pPr>
              <w:keepNext/>
              <w:overflowPunct w:val="0"/>
              <w:autoSpaceDE w:val="0"/>
              <w:autoSpaceDN w:val="0"/>
              <w:adjustRightInd w:val="0"/>
              <w:spacing w:after="120" w:line="259" w:lineRule="auto"/>
              <w:textAlignment w:val="baseline"/>
              <w:rPr>
                <w:rFonts w:eastAsiaTheme="minorEastAsia"/>
                <w:sz w:val="20"/>
                <w:szCs w:val="20"/>
                <w:lang w:val="en-US" w:eastAsia="zh-TW"/>
              </w:rPr>
            </w:pPr>
          </w:p>
          <w:p>
            <w:pPr>
              <w:pStyle w:val="34"/>
              <w:keepNext/>
              <w:numPr>
                <w:ilvl w:val="1"/>
                <w:numId w:val="10"/>
              </w:numPr>
              <w:overflowPunct/>
              <w:autoSpaceDE/>
              <w:autoSpaceDN/>
              <w:adjustRightInd/>
              <w:spacing w:after="120" w:line="259" w:lineRule="auto"/>
              <w:ind w:firstLineChars="0"/>
              <w:textAlignment w:val="auto"/>
              <w:rPr>
                <w:rFonts w:eastAsiaTheme="minorEastAsia"/>
                <w:sz w:val="20"/>
                <w:szCs w:val="20"/>
                <w:lang w:val="en-US" w:eastAsia="zh-TW"/>
              </w:rPr>
            </w:pPr>
            <w:r>
              <w:rPr>
                <w:rFonts w:hint="eastAsia" w:eastAsiaTheme="minorEastAsia"/>
                <w:sz w:val="20"/>
                <w:szCs w:val="20"/>
                <w:lang w:val="en-US" w:eastAsia="zh-TW"/>
              </w:rPr>
              <w:t>O</w:t>
            </w:r>
            <w:r>
              <w:rPr>
                <w:rFonts w:eastAsiaTheme="minorEastAsia"/>
                <w:sz w:val="20"/>
                <w:szCs w:val="20"/>
                <w:lang w:val="en-US" w:eastAsia="zh-TW"/>
              </w:rPr>
              <w:t>ff-axis spurious limits in “Carrier-on”</w:t>
            </w:r>
            <w:r>
              <w:rPr>
                <w:rFonts w:hint="eastAsia" w:eastAsiaTheme="minorEastAsia"/>
                <w:sz w:val="20"/>
                <w:szCs w:val="20"/>
                <w:lang w:val="en-US" w:eastAsia="zh-TW"/>
              </w:rPr>
              <w:t>,</w:t>
            </w:r>
            <w:r>
              <w:rPr>
                <w:rFonts w:eastAsiaTheme="minorEastAsia"/>
                <w:sz w:val="20"/>
                <w:szCs w:val="20"/>
                <w:lang w:val="en-US" w:eastAsia="zh-TW"/>
              </w:rPr>
              <w:t xml:space="preserve"> “Carrier-off”</w:t>
            </w:r>
            <w:r>
              <w:rPr>
                <w:rFonts w:hint="eastAsia" w:eastAsiaTheme="minorEastAsia"/>
                <w:sz w:val="20"/>
                <w:szCs w:val="20"/>
                <w:lang w:val="en-US" w:eastAsia="zh-TW"/>
              </w:rPr>
              <w:t xml:space="preserve"> and the </w:t>
            </w:r>
            <w:r>
              <w:rPr>
                <w:sz w:val="20"/>
                <w:szCs w:val="20"/>
              </w:rPr>
              <w:t>"Emissions-disabled"</w:t>
            </w:r>
            <w:r>
              <w:rPr>
                <w:rFonts w:eastAsiaTheme="minorEastAsia"/>
                <w:sz w:val="20"/>
                <w:szCs w:val="20"/>
                <w:lang w:val="en-US" w:eastAsia="zh-TW"/>
              </w:rPr>
              <w:t xml:space="preserve"> state in EN 302 977 as a starting point for mobile VSAT with GSO for Ku band</w:t>
            </w:r>
          </w:p>
          <w:p>
            <w:pPr>
              <w:pStyle w:val="34"/>
              <w:keepNext/>
              <w:numPr>
                <w:ilvl w:val="1"/>
                <w:numId w:val="10"/>
              </w:numPr>
              <w:overflowPunct/>
              <w:autoSpaceDE/>
              <w:autoSpaceDN/>
              <w:adjustRightInd/>
              <w:spacing w:after="120" w:line="259" w:lineRule="auto"/>
              <w:ind w:firstLineChars="0"/>
              <w:textAlignment w:val="auto"/>
              <w:rPr>
                <w:rFonts w:eastAsiaTheme="minorEastAsia"/>
                <w:sz w:val="20"/>
                <w:szCs w:val="20"/>
                <w:lang w:val="en-US" w:eastAsia="zh-TW"/>
              </w:rPr>
            </w:pPr>
            <w:r>
              <w:rPr>
                <w:rFonts w:hint="eastAsia" w:eastAsiaTheme="minorEastAsia"/>
                <w:sz w:val="20"/>
                <w:szCs w:val="20"/>
                <w:lang w:val="en-US" w:eastAsia="zh-TW"/>
              </w:rPr>
              <w:t>O</w:t>
            </w:r>
            <w:r>
              <w:rPr>
                <w:rFonts w:eastAsiaTheme="minorEastAsia"/>
                <w:sz w:val="20"/>
                <w:szCs w:val="20"/>
                <w:lang w:val="en-US" w:eastAsia="zh-TW"/>
              </w:rPr>
              <w:t>ff-axis spurious limits in “Carrier-on”</w:t>
            </w:r>
            <w:r>
              <w:rPr>
                <w:rFonts w:hint="eastAsia" w:eastAsiaTheme="minorEastAsia"/>
                <w:sz w:val="20"/>
                <w:szCs w:val="20"/>
                <w:lang w:val="en-US" w:eastAsia="zh-TW"/>
              </w:rPr>
              <w:t xml:space="preserve">, </w:t>
            </w:r>
            <w:r>
              <w:rPr>
                <w:rFonts w:eastAsiaTheme="minorEastAsia"/>
                <w:sz w:val="20"/>
                <w:szCs w:val="20"/>
                <w:lang w:val="en-US" w:eastAsia="zh-TW"/>
              </w:rPr>
              <w:t xml:space="preserve"> “Carrier-off” </w:t>
            </w:r>
            <w:r>
              <w:rPr>
                <w:rFonts w:hint="eastAsia" w:eastAsiaTheme="minorEastAsia"/>
                <w:sz w:val="20"/>
                <w:szCs w:val="20"/>
                <w:lang w:val="en-US" w:eastAsia="zh-TW"/>
              </w:rPr>
              <w:t xml:space="preserve"> and the </w:t>
            </w:r>
            <w:r>
              <w:rPr>
                <w:sz w:val="20"/>
                <w:szCs w:val="20"/>
              </w:rPr>
              <w:t>"Emissions-disabled"</w:t>
            </w:r>
            <w:r>
              <w:rPr>
                <w:rFonts w:eastAsiaTheme="minorEastAsia"/>
                <w:sz w:val="20"/>
                <w:szCs w:val="20"/>
                <w:lang w:val="en-US" w:eastAsia="zh-TW"/>
              </w:rPr>
              <w:t xml:space="preserve"> state specified in EN 303 980, EN 303 981 as a starting point for mobile VSAT with NGSO</w:t>
            </w:r>
            <w:r>
              <w:rPr>
                <w:rFonts w:hint="eastAsia" w:eastAsiaTheme="minorEastAsia"/>
                <w:sz w:val="20"/>
                <w:szCs w:val="20"/>
                <w:lang w:val="en-US" w:eastAsia="zh-TW"/>
              </w:rPr>
              <w:t xml:space="preserve"> </w:t>
            </w:r>
            <w:r>
              <w:rPr>
                <w:rFonts w:eastAsiaTheme="minorEastAsia"/>
                <w:sz w:val="20"/>
                <w:szCs w:val="20"/>
                <w:lang w:val="en-US" w:eastAsia="zh-TW"/>
              </w:rPr>
              <w:t>for Ku band</w:t>
            </w:r>
          </w:p>
          <w:p>
            <w:pPr>
              <w:pStyle w:val="34"/>
              <w:keepNext/>
              <w:numPr>
                <w:ilvl w:val="1"/>
                <w:numId w:val="10"/>
              </w:numPr>
              <w:overflowPunct/>
              <w:autoSpaceDE/>
              <w:autoSpaceDN/>
              <w:adjustRightInd/>
              <w:spacing w:after="120" w:line="259" w:lineRule="auto"/>
              <w:ind w:firstLineChars="0"/>
              <w:textAlignment w:val="auto"/>
              <w:rPr>
                <w:rFonts w:hint="eastAsia"/>
                <w:sz w:val="20"/>
                <w:szCs w:val="20"/>
                <w:vertAlign w:val="baseline"/>
                <w:lang w:val="en-US" w:eastAsia="zh-CN"/>
              </w:rPr>
            </w:pPr>
            <w:r>
              <w:rPr>
                <w:rFonts w:hint="eastAsia" w:eastAsiaTheme="minorEastAsia"/>
                <w:sz w:val="20"/>
                <w:szCs w:val="20"/>
                <w:lang w:val="en-US" w:eastAsia="zh-TW"/>
              </w:rPr>
              <w:t xml:space="preserve">Regulations of other </w:t>
            </w:r>
            <w:r>
              <w:rPr>
                <w:rFonts w:eastAsiaTheme="minorEastAsia"/>
                <w:sz w:val="20"/>
                <w:szCs w:val="20"/>
                <w:lang w:val="en-US" w:eastAsia="zh-TW"/>
              </w:rPr>
              <w:t>countries</w:t>
            </w:r>
            <w:r>
              <w:rPr>
                <w:rFonts w:hint="eastAsia" w:eastAsiaTheme="minorEastAsia"/>
                <w:sz w:val="20"/>
                <w:szCs w:val="20"/>
                <w:lang w:val="en-US" w:eastAsia="zh-TW"/>
              </w:rPr>
              <w:t xml:space="preserve"> can be further checked whether further adjustment is needed for the o</w:t>
            </w:r>
            <w:r>
              <w:rPr>
                <w:rFonts w:eastAsiaTheme="minorEastAsia"/>
                <w:sz w:val="20"/>
                <w:szCs w:val="20"/>
                <w:lang w:val="en-US" w:eastAsia="zh-TW"/>
              </w:rPr>
              <w:t>ff-axis spurious</w:t>
            </w:r>
            <w:r>
              <w:rPr>
                <w:rFonts w:hint="eastAsia" w:eastAsiaTheme="minorEastAsia"/>
                <w:sz w:val="20"/>
                <w:szCs w:val="20"/>
                <w:lang w:val="en-US" w:eastAsia="zh-TW"/>
              </w:rPr>
              <w:t xml:space="preserve"> requirement</w:t>
            </w:r>
          </w:p>
        </w:tc>
      </w:tr>
    </w:tbl>
    <w:p>
      <w:pPr>
        <w:bidi w:val="0"/>
        <w:jc w:val="both"/>
        <w:rPr>
          <w:rFonts w:hint="default"/>
          <w:sz w:val="20"/>
          <w:szCs w:val="20"/>
          <w:lang w:val="en-US" w:eastAsia="zh-CN"/>
        </w:rPr>
      </w:pPr>
      <w:r>
        <w:rPr>
          <w:rFonts w:hint="eastAsia"/>
          <w:sz w:val="20"/>
          <w:szCs w:val="20"/>
          <w:lang w:val="en-US" w:eastAsia="zh-CN"/>
        </w:rPr>
        <w:t xml:space="preserve">For off-axis spurious limits in </w:t>
      </w:r>
      <w:r>
        <w:rPr>
          <w:rFonts w:hint="default"/>
          <w:sz w:val="20"/>
          <w:szCs w:val="20"/>
          <w:lang w:val="en-US" w:eastAsia="zh-CN"/>
        </w:rPr>
        <w:t>“</w:t>
      </w:r>
      <w:r>
        <w:rPr>
          <w:rFonts w:hint="eastAsia"/>
          <w:sz w:val="20"/>
          <w:szCs w:val="20"/>
          <w:lang w:val="en-US" w:eastAsia="zh-CN"/>
        </w:rPr>
        <w:t>Carrier-on</w:t>
      </w:r>
      <w:r>
        <w:rPr>
          <w:rFonts w:hint="default"/>
          <w:sz w:val="20"/>
          <w:szCs w:val="20"/>
          <w:lang w:val="en-US" w:eastAsia="zh-CN"/>
        </w:rPr>
        <w:t>”</w:t>
      </w:r>
      <w:r>
        <w:rPr>
          <w:rFonts w:hint="eastAsia"/>
          <w:sz w:val="20"/>
          <w:szCs w:val="20"/>
          <w:lang w:val="en-US" w:eastAsia="zh-CN"/>
        </w:rPr>
        <w:t xml:space="preserve"> and </w:t>
      </w:r>
      <w:r>
        <w:rPr>
          <w:rFonts w:hint="default"/>
          <w:sz w:val="20"/>
          <w:szCs w:val="20"/>
          <w:lang w:val="en-US" w:eastAsia="zh-CN"/>
        </w:rPr>
        <w:t>“</w:t>
      </w:r>
      <w:r>
        <w:rPr>
          <w:rFonts w:hint="eastAsia"/>
          <w:sz w:val="20"/>
          <w:szCs w:val="20"/>
          <w:lang w:val="en-US" w:eastAsia="zh-CN"/>
        </w:rPr>
        <w:t>Carrier-off</w:t>
      </w:r>
      <w:r>
        <w:rPr>
          <w:rFonts w:hint="default"/>
          <w:sz w:val="20"/>
          <w:szCs w:val="20"/>
          <w:lang w:val="en-US" w:eastAsia="zh-CN"/>
        </w:rPr>
        <w:t>”</w:t>
      </w:r>
      <w:r>
        <w:rPr>
          <w:rFonts w:hint="eastAsia"/>
          <w:sz w:val="20"/>
          <w:szCs w:val="20"/>
          <w:lang w:val="en-US" w:eastAsia="zh-CN"/>
        </w:rPr>
        <w:t xml:space="preserve"> state, EN 303 980, EN 303 981 and EN 302 977 define a little different requirements for Ku band in UL 14.0–14.5 GHz. The measurement bandwidth and frequency range are different for mobile VSAT with NGSO and mobile VSAT with GSO, which is shown in the following pictures.</w:t>
      </w:r>
    </w:p>
    <w:p>
      <w:pPr>
        <w:bidi w:val="0"/>
        <w:jc w:val="both"/>
        <w:rPr>
          <w:rFonts w:hint="default"/>
          <w:b/>
          <w:bCs/>
          <w:sz w:val="20"/>
          <w:szCs w:val="20"/>
          <w:lang w:val="en-US" w:eastAsia="zh-CN"/>
        </w:rPr>
      </w:pPr>
      <w:r>
        <w:rPr>
          <w:rFonts w:hint="eastAsia"/>
          <w:b/>
          <w:bCs/>
          <w:sz w:val="20"/>
          <w:szCs w:val="20"/>
          <w:lang w:val="en-US" w:eastAsia="zh-CN"/>
        </w:rPr>
        <w:t>EN 303 980, EN 303 981 (mobile VSAT with NGSO)</w:t>
      </w:r>
    </w:p>
    <w:p>
      <w:pPr>
        <w:bidi w:val="0"/>
        <w:jc w:val="center"/>
        <w:rPr>
          <w:rFonts w:hint="default"/>
          <w:sz w:val="20"/>
          <w:szCs w:val="20"/>
          <w:lang w:val="en-US" w:eastAsia="zh-CN"/>
        </w:rPr>
      </w:pPr>
      <w:r>
        <w:drawing>
          <wp:inline distT="0" distB="0" distL="114300" distR="114300">
            <wp:extent cx="3856355" cy="2796540"/>
            <wp:effectExtent l="116840" t="86360" r="339725" b="31750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18"/>
                    <a:stretch>
                      <a:fillRect/>
                    </a:stretch>
                  </pic:blipFill>
                  <pic:spPr>
                    <a:xfrm>
                      <a:off x="0" y="0"/>
                      <a:ext cx="3856355" cy="279654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eastAsia"/>
          <w:b/>
          <w:bCs/>
          <w:sz w:val="20"/>
          <w:szCs w:val="20"/>
          <w:lang w:val="en-US" w:eastAsia="zh-CN"/>
        </w:rPr>
      </w:pPr>
      <w:r>
        <w:rPr>
          <w:rFonts w:hint="eastAsia"/>
          <w:b/>
          <w:bCs/>
          <w:sz w:val="20"/>
          <w:szCs w:val="20"/>
          <w:lang w:val="en-US" w:eastAsia="zh-CN"/>
        </w:rPr>
        <w:t>EN 302 977 (mobile VSAT with NGSO)</w:t>
      </w:r>
    </w:p>
    <w:p>
      <w:pPr>
        <w:bidi w:val="0"/>
        <w:jc w:val="center"/>
      </w:pPr>
      <w:r>
        <w:drawing>
          <wp:inline distT="0" distB="0" distL="114300" distR="114300">
            <wp:extent cx="4462145" cy="2077720"/>
            <wp:effectExtent l="116840" t="86360" r="343535" b="320040"/>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pic:cNvPicPr>
                      <a:picLocks noChangeAspect="1"/>
                    </pic:cNvPicPr>
                  </pic:nvPicPr>
                  <pic:blipFill>
                    <a:blip r:embed="rId19"/>
                    <a:stretch>
                      <a:fillRect/>
                    </a:stretch>
                  </pic:blipFill>
                  <pic:spPr>
                    <a:xfrm>
                      <a:off x="0" y="0"/>
                      <a:ext cx="4462145" cy="207772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pPr>
      <w:r>
        <w:rPr>
          <w:rFonts w:hint="eastAsia"/>
          <w:sz w:val="20"/>
          <w:szCs w:val="20"/>
          <w:lang w:val="en-US" w:eastAsia="zh-CN"/>
        </w:rPr>
        <w:t>For simplification, it</w:t>
      </w:r>
      <w:r>
        <w:rPr>
          <w:rFonts w:hint="default"/>
          <w:sz w:val="20"/>
          <w:szCs w:val="20"/>
          <w:lang w:val="en-US" w:eastAsia="zh-CN"/>
        </w:rPr>
        <w:t>’</w:t>
      </w:r>
      <w:r>
        <w:rPr>
          <w:rFonts w:hint="eastAsia"/>
          <w:sz w:val="20"/>
          <w:szCs w:val="20"/>
          <w:lang w:val="en-US" w:eastAsia="zh-CN"/>
        </w:rPr>
        <w:t>s better to converge on those requirements and convert the values in dBm. We propose to use the same requirement for both NGSO and GSO considering 100kHz measurement bandwidth as follows.</w:t>
      </w:r>
    </w:p>
    <w:p>
      <w:pPr>
        <w:pStyle w:val="56"/>
        <w:rPr>
          <w:lang w:val="en-US"/>
        </w:rPr>
      </w:pPr>
      <w:r>
        <w:rPr>
          <w:lang w:val="en-US"/>
        </w:rPr>
        <w:t xml:space="preserve">Table </w:t>
      </w:r>
      <w:r>
        <w:rPr>
          <w:rFonts w:hint="eastAsia"/>
          <w:lang w:val="en-US" w:eastAsia="zh-CN"/>
        </w:rPr>
        <w:t>2</w:t>
      </w:r>
      <w:r>
        <w:rPr>
          <w:lang w:val="en-US"/>
        </w:rPr>
        <w:t>.3-1: Off-axis spurious limits in “Carrier-on” and “Carrier-off” states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(GHz)</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(dBm)</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 xml:space="preserve">1.00 – </w:t>
            </w:r>
            <w:r>
              <w:rPr>
                <w:rFonts w:hint="eastAsia"/>
                <w:lang w:val="en-US" w:eastAsia="zh-CN"/>
              </w:rPr>
              <w:t>2.00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lang w:val="en-US"/>
              </w:rPr>
              <w:t>-4</w:t>
            </w:r>
            <w:r>
              <w:rPr>
                <w:rFonts w:hint="eastAsia"/>
                <w:lang w:val="en-US" w:eastAsia="zh-CN"/>
              </w:rPr>
              <w:t>7</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2</w:t>
            </w:r>
            <w:r>
              <w:rPr>
                <w:lang w:val="en-US"/>
              </w:rPr>
              <w:t xml:space="preserve">.00 – </w:t>
            </w:r>
            <w:r>
              <w:rPr>
                <w:rFonts w:hint="eastAsia"/>
                <w:lang w:val="en-US" w:eastAsia="zh-CN"/>
              </w:rPr>
              <w:t>3.40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-41</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3.40 – 10.70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-35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 xml:space="preserve">10.70 – </w:t>
            </w:r>
            <w:r>
              <w:rPr>
                <w:rFonts w:hint="eastAsia"/>
                <w:lang w:val="en-US" w:eastAsia="zh-CN"/>
              </w:rPr>
              <w:t>13.75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-29</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13.75</w:t>
            </w:r>
            <w:r>
              <w:rPr>
                <w:lang w:val="en-US"/>
              </w:rPr>
              <w:t xml:space="preserve"> – </w:t>
            </w:r>
            <w:r>
              <w:rPr>
                <w:rFonts w:hint="eastAsia"/>
                <w:lang w:val="en-US" w:eastAsia="zh-CN"/>
              </w:rPr>
              <w:t>14.00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rFonts w:hint="eastAsia"/>
                <w:lang w:val="en-US" w:eastAsia="zh-CN"/>
              </w:rPr>
              <w:t>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14.</w:t>
            </w:r>
            <w:r>
              <w:rPr>
                <w:lang w:val="en-US"/>
              </w:rPr>
              <w:t>5</w:t>
            </w:r>
            <w:r>
              <w:rPr>
                <w:rFonts w:hint="eastAsia"/>
                <w:lang w:val="en-US" w:eastAsia="zh-CN"/>
              </w:rPr>
              <w:t>0</w:t>
            </w:r>
            <w:r>
              <w:rPr>
                <w:lang w:val="en-US"/>
              </w:rPr>
              <w:t xml:space="preserve"> – </w:t>
            </w:r>
            <w:r>
              <w:rPr>
                <w:rFonts w:hint="eastAsia"/>
                <w:lang w:val="en-US" w:eastAsia="zh-CN"/>
              </w:rPr>
              <w:t>14.75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lang w:val="en-US"/>
              </w:rPr>
              <w:t>1</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14.75</w:t>
            </w:r>
            <w:r>
              <w:rPr>
                <w:lang w:val="en-US"/>
              </w:rPr>
              <w:t xml:space="preserve"> – </w:t>
            </w:r>
            <w:r>
              <w:rPr>
                <w:rFonts w:hint="eastAsia"/>
                <w:lang w:val="en-US" w:eastAsia="zh-CN"/>
              </w:rPr>
              <w:t>21.20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w:t>
            </w:r>
            <w:r>
              <w:rPr>
                <w:rFonts w:hint="eastAsia"/>
                <w:lang w:val="en-US" w:eastAsia="zh-CN"/>
              </w:rPr>
              <w:t>29</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21.20</w:t>
            </w:r>
            <w:r>
              <w:rPr>
                <w:lang w:val="en-US"/>
              </w:rPr>
              <w:t xml:space="preserve"> – </w:t>
            </w:r>
            <w:r>
              <w:rPr>
                <w:rFonts w:hint="eastAsia"/>
                <w:lang w:val="en-US" w:eastAsia="zh-CN"/>
              </w:rPr>
              <w:t>60.00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-23</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bl>
    <w:p>
      <w:pPr>
        <w:rPr>
          <w:rFonts w:hint="eastAsia"/>
          <w:b/>
          <w:bCs/>
          <w:sz w:val="20"/>
          <w:szCs w:val="18"/>
          <w:lang w:val="en-US" w:eastAsia="zh-CN"/>
        </w:rPr>
      </w:pPr>
      <w:r>
        <w:rPr>
          <w:rFonts w:hint="eastAsia"/>
          <w:b/>
          <w:bCs/>
          <w:sz w:val="20"/>
          <w:szCs w:val="20"/>
          <w:lang w:val="en-US" w:eastAsia="zh-CN"/>
        </w:rPr>
        <w:t xml:space="preserve">Proposal 4: We propose to use the same requirement for both NGSO and GSO considering 100kHz measurement bandwidth as Table 2.3-1 </w:t>
      </w:r>
      <w:r>
        <w:rPr>
          <w:rFonts w:hint="eastAsia"/>
          <w:b/>
          <w:bCs/>
          <w:sz w:val="20"/>
          <w:szCs w:val="18"/>
          <w:lang w:val="en-US" w:eastAsia="zh-CN"/>
        </w:rPr>
        <w:t>for CEPT Ku band</w:t>
      </w:r>
      <w:r>
        <w:rPr>
          <w:rFonts w:hint="eastAsia"/>
          <w:b/>
          <w:bCs/>
          <w:sz w:val="20"/>
          <w:szCs w:val="20"/>
          <w:lang w:val="en-US" w:eastAsia="zh-CN"/>
        </w:rPr>
        <w:t>.</w:t>
      </w:r>
    </w:p>
    <w:p>
      <w:pPr>
        <w:bidi w:val="0"/>
        <w:jc w:val="both"/>
        <w:rPr>
          <w:rFonts w:hint="eastAsia"/>
          <w:b/>
          <w:bCs/>
          <w:sz w:val="20"/>
          <w:szCs w:val="18"/>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sz w:val="24"/>
          <w:szCs w:val="18"/>
          <w:lang w:val="en-US" w:eastAsia="zh-CN"/>
        </w:rPr>
      </w:pPr>
      <w:r>
        <w:rPr>
          <w:rFonts w:hint="eastAsia"/>
          <w:sz w:val="24"/>
          <w:szCs w:val="18"/>
          <w:lang w:val="en-US" w:eastAsia="zh-CN"/>
        </w:rPr>
        <w:t>2.4 OTA reference sensitivity level</w:t>
      </w:r>
    </w:p>
    <w:p>
      <w:pPr>
        <w:bidi w:val="0"/>
        <w:jc w:val="both"/>
        <w:rPr>
          <w:rFonts w:hint="eastAsia"/>
          <w:b w:val="0"/>
          <w:bCs w:val="0"/>
          <w:sz w:val="20"/>
          <w:szCs w:val="18"/>
          <w:lang w:val="en-US" w:eastAsia="zh-CN"/>
        </w:rPr>
      </w:pPr>
      <w:r>
        <w:rPr>
          <w:rFonts w:hint="eastAsia"/>
          <w:b w:val="0"/>
          <w:bCs w:val="0"/>
          <w:sz w:val="20"/>
          <w:szCs w:val="18"/>
          <w:lang w:val="en-US" w:eastAsia="zh-CN"/>
        </w:rPr>
        <w:t>For OTA reference sensitivity level, it is channel bandwidth dependent. In current spec, it specifies the minimum EIS for 50MHz channel bandwidth, and for other channel bandwidths larger than 50MHz, the corresponding EIS requirement could be scaled with PRB based compared with 50MHz. In addition, during ka band discussion, it defines the minimum EIS based on the link budget [3][4][5]. For Ku band, we can use the same approach to define the minimum EIS and assume 10MHz channel bandwidth as the worst case to derive the requirement. The calculation can be found in the following table.</w:t>
      </w:r>
    </w:p>
    <w:p>
      <w:pPr>
        <w:bidi w:val="0"/>
        <w:jc w:val="center"/>
        <w:rPr>
          <w:rFonts w:hint="default" w:ascii="Arial" w:hAnsi="Arial" w:eastAsia="宋体" w:cs="Times New Roman"/>
          <w:b/>
          <w:kern w:val="2"/>
          <w:sz w:val="21"/>
          <w:lang w:val="en-US" w:eastAsia="zh-CN" w:bidi="ar-SA"/>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2.4-1: The minimum EIS calculation</w:t>
      </w:r>
    </w:p>
    <w:tbl>
      <w:tblPr>
        <w:tblStyle w:val="23"/>
        <w:tblW w:w="92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11"/>
        <w:gridCol w:w="1164"/>
        <w:gridCol w:w="1121"/>
        <w:gridCol w:w="1121"/>
        <w:gridCol w:w="1121"/>
        <w:gridCol w:w="1121"/>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rPr>
            </w:pPr>
          </w:p>
        </w:tc>
        <w:tc>
          <w:tcPr>
            <w:tcW w:w="228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GSO</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LEO1200</w:t>
            </w: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178.52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174.85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SAN_AntennaGain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SAN_TxPower [dBm]</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53.00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5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EIS_min</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-126.90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-123.34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-130.52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-123.85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-130.98 </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-123.83 </w:t>
            </w:r>
          </w:p>
        </w:tc>
      </w:tr>
    </w:tbl>
    <w:p>
      <w:pPr>
        <w:bidi w:val="0"/>
        <w:jc w:val="both"/>
        <w:rPr>
          <w:rFonts w:hint="eastAsia"/>
          <w:b w:val="0"/>
          <w:bCs w:val="0"/>
          <w:sz w:val="20"/>
          <w:szCs w:val="18"/>
          <w:lang w:val="en-US" w:eastAsia="zh-CN"/>
        </w:rPr>
      </w:pPr>
      <w:r>
        <w:rPr>
          <w:rFonts w:hint="eastAsia"/>
          <w:b w:val="0"/>
          <w:bCs w:val="0"/>
          <w:sz w:val="20"/>
          <w:szCs w:val="18"/>
          <w:lang w:val="en-US" w:eastAsia="zh-CN"/>
        </w:rPr>
        <w:t>Based on the above analysis, the minimum EIS could be defines as -131 dBm for 10MHz, and for the other channel bandwidth the corresponding EIS requirement could be scaled with PRB based compared with 50MHz for both GSO and LEO.</w:t>
      </w:r>
    </w:p>
    <w:p>
      <w:pPr>
        <w:bidi w:val="0"/>
        <w:jc w:val="both"/>
        <w:rPr>
          <w:rFonts w:hint="default"/>
          <w:b w:val="0"/>
          <w:bCs w:val="0"/>
          <w:sz w:val="20"/>
          <w:szCs w:val="18"/>
          <w:lang w:val="en-US" w:eastAsia="zh-CN"/>
        </w:rPr>
      </w:pPr>
      <w:r>
        <w:rPr>
          <w:rFonts w:hint="eastAsia"/>
          <w:b/>
          <w:bCs/>
          <w:sz w:val="20"/>
          <w:szCs w:val="20"/>
          <w:lang w:val="en-US" w:eastAsia="zh-CN"/>
        </w:rPr>
        <w:t>Proposal 5: The minimum EIS could be defined as -131 dBm for 10MHz, and for the other channel bandwidth the corresponding EIS requirement could be scaled with PRB based compared with 10MHz for both GSO and LEO.</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sz w:val="24"/>
          <w:szCs w:val="18"/>
          <w:lang w:val="en-US" w:eastAsia="zh-CN"/>
        </w:rPr>
      </w:pPr>
      <w:r>
        <w:rPr>
          <w:rFonts w:hint="eastAsia"/>
          <w:sz w:val="24"/>
          <w:szCs w:val="18"/>
          <w:lang w:val="en-US" w:eastAsia="zh-CN"/>
        </w:rPr>
        <w:t>2.5 Maximum input level</w:t>
      </w:r>
    </w:p>
    <w:p>
      <w:pPr>
        <w:bidi w:val="0"/>
        <w:jc w:val="both"/>
        <w:rPr>
          <w:rFonts w:hint="default"/>
          <w:b w:val="0"/>
          <w:bCs w:val="0"/>
          <w:sz w:val="20"/>
          <w:szCs w:val="18"/>
          <w:lang w:val="en-US" w:eastAsia="zh-CN"/>
        </w:rPr>
      </w:pPr>
      <w:r>
        <w:rPr>
          <w:rFonts w:hint="eastAsia"/>
          <w:b w:val="0"/>
          <w:bCs w:val="0"/>
          <w:sz w:val="20"/>
          <w:szCs w:val="18"/>
          <w:lang w:val="en-US" w:eastAsia="zh-CN"/>
        </w:rPr>
        <w:t>For the maximum input level, we also can use same way as Ka band to derive the requirement, which is calculated based on the link budget. In the following table, we calculate the requirement based on the 64QAM modulation order. For target SNR for DL 64QAM, we assume the same value as Ka band [4]. It can observed that the min Rx antenna size is too large for LEO1200 and LEO600, which is mainly impacted by the target SNR. Therefore, the target SNR needs further discussion.</w:t>
      </w:r>
    </w:p>
    <w:p>
      <w:pPr>
        <w:bidi w:val="0"/>
        <w:jc w:val="center"/>
        <w:rPr>
          <w:rFonts w:hint="default"/>
          <w:b w:val="0"/>
          <w:bCs w:val="0"/>
          <w:sz w:val="20"/>
          <w:szCs w:val="18"/>
          <w:lang w:val="en-US" w:eastAsia="zh-CN"/>
        </w:rPr>
      </w:pPr>
      <w:r>
        <w:rPr>
          <w:rFonts w:hint="eastAsia" w:ascii="Arial" w:hAnsi="Arial" w:eastAsia="宋体" w:cs="Times New Roman"/>
          <w:b/>
          <w:kern w:val="2"/>
          <w:sz w:val="21"/>
          <w:lang w:val="en-US" w:eastAsia="zh-CN" w:bidi="ar-SA"/>
        </w:rPr>
        <w:t>Table</w:t>
      </w:r>
      <w:r>
        <w:rPr>
          <w:rFonts w:hint="eastAsia" w:ascii="Arial" w:hAnsi="Arial" w:cs="Times New Roman"/>
          <w:b/>
          <w:kern w:val="2"/>
          <w:sz w:val="21"/>
          <w:lang w:val="en-US" w:eastAsia="zh-CN" w:bidi="ar-SA"/>
        </w:rPr>
        <w:t xml:space="preserve"> 2.5-1: The maximum input level calculation</w:t>
      </w:r>
    </w:p>
    <w:tbl>
      <w:tblPr>
        <w:tblStyle w:val="23"/>
        <w:tblW w:w="953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65"/>
        <w:gridCol w:w="1121"/>
        <w:gridCol w:w="1121"/>
        <w:gridCol w:w="1242"/>
        <w:gridCol w:w="1121"/>
        <w:gridCol w:w="1242"/>
        <w:gridCol w:w="1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rPr>
            </w:pPr>
          </w:p>
        </w:tc>
        <w:tc>
          <w:tcPr>
            <w:tcW w:w="224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GSO</w:t>
            </w:r>
          </w:p>
        </w:tc>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LEO1200</w:t>
            </w:r>
          </w:p>
        </w:tc>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LEO600 (set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42164.00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38180.79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35786.00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178.52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174.85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Target SNR for DL 64QAM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9.50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SAN_AntennaGain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SAN_TxPower [dBm]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47.00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MaxInputPower</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-126.90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-126.85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-130.98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-123.83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Gain_element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Rx_Antenna_size_min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777.10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765.97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2148.22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3055.96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8870.95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6068.59 </w:t>
            </w:r>
          </w:p>
        </w:tc>
      </w:tr>
    </w:tbl>
    <w:p>
      <w:pPr>
        <w:rPr>
          <w:rFonts w:hint="eastAsia"/>
          <w:b/>
          <w:bCs/>
          <w:sz w:val="20"/>
          <w:szCs w:val="20"/>
          <w:lang w:val="en-US" w:eastAsia="zh-CN"/>
        </w:rPr>
      </w:pPr>
      <w:r>
        <w:rPr>
          <w:rFonts w:hint="eastAsia"/>
          <w:b/>
          <w:bCs/>
          <w:sz w:val="20"/>
          <w:szCs w:val="20"/>
          <w:lang w:val="en-US" w:eastAsia="zh-CN"/>
        </w:rPr>
        <w:t>Proposal 6: The target SNR used for the maximum input level calculation needs further discussion.</w:t>
      </w:r>
    </w:p>
    <w:p>
      <w:pPr>
        <w:rPr>
          <w:rFonts w:hint="eastAsia"/>
          <w:b/>
          <w:b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sz w:val="24"/>
          <w:szCs w:val="18"/>
          <w:lang w:val="en-US" w:eastAsia="zh-CN"/>
        </w:rPr>
      </w:pPr>
      <w:r>
        <w:rPr>
          <w:rFonts w:hint="eastAsia"/>
          <w:sz w:val="24"/>
          <w:szCs w:val="18"/>
          <w:lang w:val="en-US" w:eastAsia="zh-CN"/>
        </w:rPr>
        <w:t>2.6 Receiver antenna off-axis performance</w:t>
      </w:r>
    </w:p>
    <w:p>
      <w:pPr>
        <w:bidi w:val="0"/>
        <w:jc w:val="both"/>
        <w:rPr>
          <w:rFonts w:hint="default"/>
          <w:b w:val="0"/>
          <w:bCs w:val="0"/>
          <w:sz w:val="20"/>
          <w:szCs w:val="18"/>
          <w:lang w:val="en-US" w:eastAsia="zh-CN"/>
        </w:rPr>
      </w:pPr>
      <w:r>
        <w:rPr>
          <w:rFonts w:hint="eastAsia"/>
          <w:b w:val="0"/>
          <w:bCs w:val="0"/>
          <w:sz w:val="20"/>
          <w:szCs w:val="18"/>
          <w:lang w:val="en-US" w:eastAsia="zh-CN"/>
        </w:rPr>
        <w:t xml:space="preserve">For receiver antenna off-axis performance, EN 302 340, EN 303 980, EN 303 981 and EN 302 977 specify different requirements for different VSATs. </w:t>
      </w:r>
      <w:r>
        <w:rPr>
          <w:rFonts w:hint="eastAsia" w:eastAsia="PMingLiU"/>
          <w:sz w:val="20"/>
          <w:szCs w:val="20"/>
          <w:lang w:eastAsia="zh-TW"/>
        </w:rPr>
        <w:t>EN 303 980</w:t>
      </w:r>
      <w:r>
        <w:rPr>
          <w:rFonts w:hint="eastAsia" w:eastAsia="宋体"/>
          <w:sz w:val="20"/>
          <w:szCs w:val="20"/>
          <w:lang w:val="en-US" w:eastAsia="zh-CN"/>
        </w:rPr>
        <w:t xml:space="preserve"> and</w:t>
      </w:r>
      <w:r>
        <w:rPr>
          <w:rFonts w:hint="eastAsia" w:eastAsia="PMingLiU"/>
          <w:sz w:val="20"/>
          <w:szCs w:val="20"/>
          <w:lang w:eastAsia="zh-TW"/>
        </w:rPr>
        <w:t xml:space="preserve"> EN 303 981</w:t>
      </w:r>
      <w:r>
        <w:rPr>
          <w:rFonts w:hint="eastAsia" w:eastAsia="宋体"/>
          <w:sz w:val="20"/>
          <w:szCs w:val="20"/>
          <w:lang w:val="en-US" w:eastAsia="zh-CN"/>
        </w:rPr>
        <w:t xml:space="preserve"> apply for mobile VSAT with NGSO</w:t>
      </w:r>
      <w:r>
        <w:rPr>
          <w:rFonts w:hint="eastAsia"/>
          <w:sz w:val="20"/>
          <w:szCs w:val="20"/>
          <w:lang w:val="en-US" w:eastAsia="zh-CN"/>
        </w:rPr>
        <w:t>, while</w:t>
      </w:r>
      <w:r>
        <w:rPr>
          <w:rFonts w:hint="eastAsia" w:eastAsia="宋体"/>
          <w:sz w:val="20"/>
          <w:szCs w:val="20"/>
          <w:lang w:val="en-US" w:eastAsia="zh-CN"/>
        </w:rPr>
        <w:t xml:space="preserve"> E</w:t>
      </w:r>
      <w:r>
        <w:rPr>
          <w:rFonts w:hint="eastAsia" w:eastAsia="PMingLiU"/>
          <w:sz w:val="20"/>
          <w:szCs w:val="20"/>
          <w:lang w:eastAsia="zh-TW"/>
        </w:rPr>
        <w:t>N 302 977</w:t>
      </w:r>
      <w:r>
        <w:rPr>
          <w:rFonts w:hint="eastAsia" w:eastAsia="宋体"/>
          <w:sz w:val="20"/>
          <w:szCs w:val="20"/>
          <w:lang w:val="en-US" w:eastAsia="zh-CN"/>
        </w:rPr>
        <w:t xml:space="preserve"> </w:t>
      </w:r>
      <w:r>
        <w:rPr>
          <w:rFonts w:hint="eastAsia"/>
          <w:sz w:val="20"/>
          <w:szCs w:val="20"/>
          <w:lang w:val="en-US" w:eastAsia="zh-CN"/>
        </w:rPr>
        <w:t>and EN 302 340 are</w:t>
      </w:r>
      <w:r>
        <w:rPr>
          <w:rFonts w:hint="eastAsia" w:eastAsia="宋体"/>
          <w:sz w:val="20"/>
          <w:szCs w:val="20"/>
          <w:lang w:val="en-US" w:eastAsia="zh-CN"/>
        </w:rPr>
        <w:t xml:space="preserve"> applied for mobile VSAT with GSO</w:t>
      </w:r>
      <w:r>
        <w:rPr>
          <w:rFonts w:hint="eastAsia"/>
          <w:sz w:val="20"/>
          <w:szCs w:val="20"/>
          <w:lang w:val="en-US" w:eastAsia="zh-CN"/>
        </w:rPr>
        <w:t xml:space="preserve">. </w:t>
      </w:r>
      <w:r>
        <w:rPr>
          <w:rFonts w:hint="eastAsia"/>
          <w:b w:val="0"/>
          <w:bCs w:val="0"/>
          <w:sz w:val="20"/>
          <w:szCs w:val="18"/>
          <w:lang w:val="en-US" w:eastAsia="zh-CN"/>
        </w:rPr>
        <w:t>Receiver antenna off-axis performance in EN 303 977 and EN 302 340 is same as the requirement for Ka band in TS 38.101-5.</w:t>
      </w:r>
    </w:p>
    <w:p>
      <w:pPr>
        <w:bidi w:val="0"/>
        <w:jc w:val="both"/>
        <w:rPr>
          <w:rFonts w:hint="default"/>
          <w:b/>
          <w:bCs/>
          <w:sz w:val="20"/>
          <w:szCs w:val="18"/>
          <w:lang w:val="en-US" w:eastAsia="zh-CN"/>
        </w:rPr>
      </w:pPr>
      <w:r>
        <w:rPr>
          <w:rFonts w:hint="eastAsia"/>
          <w:b/>
          <w:bCs/>
          <w:sz w:val="20"/>
          <w:szCs w:val="18"/>
          <w:lang w:val="en-US" w:eastAsia="zh-CN"/>
        </w:rPr>
        <w:t>EN 303 977 and EN 302 340</w:t>
      </w:r>
    </w:p>
    <w:p>
      <w:pPr>
        <w:bidi w:val="0"/>
        <w:jc w:val="center"/>
        <w:rPr>
          <w:rFonts w:hint="eastAsia"/>
          <w:b/>
          <w:bCs/>
          <w:sz w:val="20"/>
          <w:szCs w:val="18"/>
          <w:lang w:val="en-US" w:eastAsia="zh-CN"/>
        </w:rPr>
      </w:pPr>
      <w:r>
        <w:drawing>
          <wp:inline distT="0" distB="0" distL="114300" distR="114300">
            <wp:extent cx="4870450" cy="2536825"/>
            <wp:effectExtent l="116840" t="86360" r="331470" b="318135"/>
            <wp:docPr id="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pic:cNvPicPr>
                      <a:picLocks noChangeAspect="1"/>
                    </pic:cNvPicPr>
                  </pic:nvPicPr>
                  <pic:blipFill>
                    <a:blip r:embed="rId20"/>
                    <a:stretch>
                      <a:fillRect/>
                    </a:stretch>
                  </pic:blipFill>
                  <pic:spPr>
                    <a:xfrm>
                      <a:off x="0" y="0"/>
                      <a:ext cx="4870450" cy="2536825"/>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eastAsia"/>
          <w:b/>
          <w:bCs/>
          <w:sz w:val="20"/>
          <w:szCs w:val="20"/>
          <w:lang w:val="en-US" w:eastAsia="zh-CN"/>
        </w:rPr>
      </w:pPr>
      <w:r>
        <w:rPr>
          <w:rFonts w:hint="eastAsia"/>
          <w:b/>
          <w:bCs/>
          <w:sz w:val="20"/>
          <w:szCs w:val="20"/>
          <w:lang w:val="en-US" w:eastAsia="zh-CN"/>
        </w:rPr>
        <w:t>Observation 1: For receiver antenna off-axis performance, EN 303 977 and EN 302 340 have the same requirement for mobile VSAT with GSO operating in CEPT Ku band as defined in TS 38.101-5 for Ka band.</w:t>
      </w:r>
    </w:p>
    <w:p>
      <w:pPr>
        <w:bidi w:val="0"/>
        <w:jc w:val="both"/>
        <w:rPr>
          <w:rFonts w:hint="default" w:eastAsia="宋体"/>
          <w:b w:val="0"/>
          <w:bCs w:val="0"/>
          <w:sz w:val="20"/>
          <w:szCs w:val="20"/>
          <w:lang w:val="en-US" w:eastAsia="zh-CN"/>
        </w:rPr>
      </w:pPr>
      <w:r>
        <w:rPr>
          <w:rFonts w:hint="eastAsia"/>
          <w:b w:val="0"/>
          <w:bCs w:val="0"/>
          <w:sz w:val="20"/>
          <w:szCs w:val="20"/>
          <w:lang w:val="en-US" w:eastAsia="zh-CN"/>
        </w:rPr>
        <w:t>For mobile VSAT with NGSO for Ku band,</w:t>
      </w:r>
      <w:r>
        <w:rPr>
          <w:rFonts w:hint="eastAsia" w:eastAsia="PMingLiU"/>
          <w:sz w:val="20"/>
          <w:szCs w:val="20"/>
          <w:lang w:eastAsia="zh-TW"/>
        </w:rPr>
        <w:t xml:space="preserve"> EN 303 981</w:t>
      </w:r>
      <w:r>
        <w:rPr>
          <w:rFonts w:hint="eastAsia" w:eastAsia="宋体"/>
          <w:sz w:val="20"/>
          <w:szCs w:val="20"/>
          <w:lang w:val="en-US" w:eastAsia="zh-CN"/>
        </w:rPr>
        <w:t xml:space="preserve"> define</w:t>
      </w:r>
      <w:r>
        <w:rPr>
          <w:rFonts w:hint="eastAsia"/>
          <w:sz w:val="20"/>
          <w:szCs w:val="20"/>
          <w:lang w:val="en-US" w:eastAsia="zh-CN"/>
        </w:rPr>
        <w:t>s</w:t>
      </w:r>
      <w:r>
        <w:rPr>
          <w:rFonts w:hint="eastAsia" w:eastAsia="宋体"/>
          <w:sz w:val="20"/>
          <w:szCs w:val="20"/>
          <w:lang w:val="en-US" w:eastAsia="zh-CN"/>
        </w:rPr>
        <w:t xml:space="preserve"> two sets of receiver antenna off-axis performance for two classes of VSAT. The difference between two classes</w:t>
      </w:r>
      <w:r>
        <w:rPr>
          <w:rFonts w:hint="eastAsia"/>
          <w:sz w:val="20"/>
          <w:szCs w:val="20"/>
          <w:lang w:val="en-US" w:eastAsia="zh-CN"/>
        </w:rPr>
        <w:t xml:space="preserve"> is that class A transmits at elevation angles of 50°or greater, relative to the horizontal plane, and class B transmits at elevation angles of 25°or greater. However, in </w:t>
      </w:r>
      <w:r>
        <w:rPr>
          <w:rFonts w:hint="eastAsia" w:eastAsia="PMingLiU"/>
          <w:sz w:val="20"/>
          <w:szCs w:val="20"/>
          <w:lang w:eastAsia="zh-TW"/>
        </w:rPr>
        <w:t>EN 303 98</w:t>
      </w:r>
      <w:r>
        <w:rPr>
          <w:rFonts w:hint="eastAsia" w:eastAsia="宋体"/>
          <w:sz w:val="20"/>
          <w:szCs w:val="20"/>
          <w:lang w:val="en-US" w:eastAsia="zh-CN"/>
        </w:rPr>
        <w:t>0, it specifies only one set requirement same as the requirement of class A in E</w:t>
      </w:r>
      <w:r>
        <w:rPr>
          <w:rFonts w:hint="eastAsia" w:eastAsia="PMingLiU"/>
          <w:sz w:val="20"/>
          <w:szCs w:val="20"/>
          <w:lang w:eastAsia="zh-TW"/>
        </w:rPr>
        <w:t>N 303 98</w:t>
      </w:r>
      <w:r>
        <w:rPr>
          <w:rFonts w:hint="eastAsia" w:eastAsia="宋体"/>
          <w:sz w:val="20"/>
          <w:szCs w:val="20"/>
          <w:lang w:val="en-US" w:eastAsia="zh-CN"/>
        </w:rPr>
        <w:t>1.</w:t>
      </w:r>
    </w:p>
    <w:p>
      <w:pPr>
        <w:bidi w:val="0"/>
        <w:jc w:val="both"/>
        <w:rPr>
          <w:rFonts w:hint="default"/>
          <w:b/>
          <w:bCs/>
          <w:sz w:val="20"/>
          <w:szCs w:val="18"/>
          <w:lang w:val="en-US" w:eastAsia="zh-CN"/>
        </w:rPr>
      </w:pPr>
      <w:r>
        <w:rPr>
          <w:rFonts w:hint="eastAsia"/>
          <w:b/>
          <w:bCs/>
          <w:sz w:val="20"/>
          <w:szCs w:val="18"/>
          <w:lang w:val="en-US" w:eastAsia="zh-CN"/>
        </w:rPr>
        <w:t>EN 303 980</w:t>
      </w:r>
    </w:p>
    <w:p>
      <w:pPr>
        <w:bidi w:val="0"/>
        <w:jc w:val="center"/>
        <w:rPr>
          <w:rFonts w:hint="default"/>
          <w:b/>
          <w:bCs/>
          <w:sz w:val="20"/>
          <w:szCs w:val="18"/>
          <w:lang w:val="en-US" w:eastAsia="zh-CN"/>
        </w:rPr>
      </w:pPr>
      <w:r>
        <w:drawing>
          <wp:inline distT="0" distB="0" distL="114300" distR="114300">
            <wp:extent cx="5058410" cy="3501390"/>
            <wp:effectExtent l="116840" t="86360" r="341630" b="32893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21"/>
                    <a:stretch>
                      <a:fillRect/>
                    </a:stretch>
                  </pic:blipFill>
                  <pic:spPr>
                    <a:xfrm>
                      <a:off x="0" y="0"/>
                      <a:ext cx="5058410" cy="350139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eastAsia"/>
          <w:b/>
          <w:bCs/>
          <w:sz w:val="20"/>
          <w:szCs w:val="18"/>
          <w:lang w:val="en-US" w:eastAsia="zh-CN"/>
        </w:rPr>
      </w:pPr>
      <w:r>
        <w:rPr>
          <w:rFonts w:hint="eastAsia"/>
          <w:b/>
          <w:bCs/>
          <w:sz w:val="20"/>
          <w:szCs w:val="18"/>
          <w:lang w:val="en-US" w:eastAsia="zh-CN"/>
        </w:rPr>
        <w:t>EN 303 981</w:t>
      </w:r>
    </w:p>
    <w:p>
      <w:pPr>
        <w:bidi w:val="0"/>
        <w:jc w:val="center"/>
        <w:rPr>
          <w:rFonts w:hint="eastAsia"/>
          <w:lang w:val="en-US" w:eastAsia="zh-CN"/>
        </w:rPr>
      </w:pPr>
      <w:r>
        <w:drawing>
          <wp:inline distT="0" distB="0" distL="114300" distR="114300">
            <wp:extent cx="5162550" cy="3319780"/>
            <wp:effectExtent l="116840" t="86360" r="344170" b="32766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22"/>
                    <a:stretch>
                      <a:fillRect/>
                    </a:stretch>
                  </pic:blipFill>
                  <pic:spPr>
                    <a:xfrm>
                      <a:off x="0" y="0"/>
                      <a:ext cx="5162550" cy="3319780"/>
                    </a:xfrm>
                    <a:prstGeom prst="rect">
                      <a:avLst/>
                    </a:prstGeom>
                    <a:ln>
                      <a:noFill/>
                    </a:ln>
                    <a:effectLst>
                      <a:outerShdw blurRad="292100" dist="139700" dir="2700000" algn="tl" rotWithShape="0">
                        <a:srgbClr val="333333">
                          <a:alpha val="65000"/>
                        </a:srgbClr>
                      </a:outerShdw>
                    </a:effectLst>
                  </pic:spPr>
                </pic:pic>
              </a:graphicData>
            </a:graphic>
          </wp:inline>
        </w:drawing>
      </w:r>
      <w:r>
        <w:drawing>
          <wp:inline distT="0" distB="0" distL="114300" distR="114300">
            <wp:extent cx="5019040" cy="2312670"/>
            <wp:effectExtent l="116840" t="86360" r="335280" b="328930"/>
            <wp:docPr id="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pic:cNvPicPr>
                      <a:picLocks noChangeAspect="1"/>
                    </pic:cNvPicPr>
                  </pic:nvPicPr>
                  <pic:blipFill>
                    <a:blip r:embed="rId23"/>
                    <a:stretch>
                      <a:fillRect/>
                    </a:stretch>
                  </pic:blipFill>
                  <pic:spPr>
                    <a:xfrm>
                      <a:off x="0" y="0"/>
                      <a:ext cx="5019040" cy="2312670"/>
                    </a:xfrm>
                    <a:prstGeom prst="rect">
                      <a:avLst/>
                    </a:prstGeom>
                    <a:ln>
                      <a:noFill/>
                    </a:ln>
                    <a:effectLst>
                      <a:outerShdw blurRad="292100" dist="139700" dir="2700000" algn="tl" rotWithShape="0">
                        <a:srgbClr val="333333">
                          <a:alpha val="65000"/>
                        </a:srgbClr>
                      </a:outerShdw>
                    </a:effectLst>
                  </pic:spPr>
                </pic:pic>
              </a:graphicData>
            </a:graphic>
          </wp:inline>
        </w:drawing>
      </w:r>
    </w:p>
    <w:p>
      <w:pPr>
        <w:bidi w:val="0"/>
        <w:jc w:val="both"/>
        <w:rPr>
          <w:rFonts w:hint="eastAsia"/>
          <w:b/>
          <w:bCs/>
          <w:sz w:val="20"/>
          <w:szCs w:val="20"/>
          <w:lang w:val="en-US" w:eastAsia="zh-CN"/>
        </w:rPr>
      </w:pPr>
      <w:r>
        <w:rPr>
          <w:rFonts w:hint="eastAsia"/>
          <w:b/>
          <w:bCs/>
          <w:sz w:val="20"/>
          <w:szCs w:val="20"/>
          <w:lang w:val="en-US" w:eastAsia="zh-CN"/>
        </w:rPr>
        <w:t xml:space="preserve">Observation 2: EN 303 981 defines two sets of receiver antenna off-axis performance for two classes of mobile VSAT with NGSO for </w:t>
      </w:r>
      <w:r>
        <w:rPr>
          <w:rFonts w:hint="eastAsia"/>
          <w:b/>
          <w:bCs/>
          <w:sz w:val="20"/>
          <w:szCs w:val="18"/>
          <w:lang w:val="en-US" w:eastAsia="zh-CN"/>
        </w:rPr>
        <w:t xml:space="preserve">CEPT </w:t>
      </w:r>
      <w:r>
        <w:rPr>
          <w:rFonts w:hint="eastAsia"/>
          <w:b/>
          <w:bCs/>
          <w:sz w:val="20"/>
          <w:szCs w:val="20"/>
          <w:lang w:val="en-US" w:eastAsia="zh-CN"/>
        </w:rPr>
        <w:t>Ku band.</w:t>
      </w:r>
    </w:p>
    <w:p>
      <w:pPr>
        <w:bidi w:val="0"/>
        <w:jc w:val="both"/>
        <w:rPr>
          <w:rFonts w:hint="eastAsia"/>
          <w:b w:val="0"/>
          <w:bCs w:val="0"/>
          <w:sz w:val="20"/>
          <w:szCs w:val="20"/>
          <w:lang w:val="en-US" w:eastAsia="zh-CN"/>
        </w:rPr>
      </w:pPr>
      <w:r>
        <w:rPr>
          <w:rFonts w:hint="eastAsia"/>
          <w:b w:val="0"/>
          <w:bCs w:val="0"/>
          <w:sz w:val="20"/>
          <w:szCs w:val="20"/>
          <w:lang w:val="en-US" w:eastAsia="zh-CN"/>
        </w:rPr>
        <w:t>Based on the above analysis, we propose to use the most stringent requirement to define receiver antenna off-axis performance for both GSO and NGSO, which is shown in the following table.</w:t>
      </w:r>
    </w:p>
    <w:p>
      <w:pPr>
        <w:pStyle w:val="56"/>
        <w:rPr>
          <w:lang w:val="en-US"/>
        </w:rPr>
      </w:pPr>
      <w:r>
        <w:t xml:space="preserve">Table </w:t>
      </w:r>
      <w:r>
        <w:rPr>
          <w:rFonts w:hint="eastAsia"/>
          <w:lang w:val="en-US" w:eastAsia="zh-CN"/>
        </w:rPr>
        <w:t>2.5</w:t>
      </w:r>
      <w:r>
        <w:t>-1: Off-axis Co-polarized gain limit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3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t>φ</w:t>
            </w:r>
            <w:r>
              <w:rPr>
                <w:shd w:val="clear" w:color="auto" w:fill="FFFFFF"/>
              </w:rPr>
              <w:t xml:space="preserve"> value (degree)</w:t>
            </w:r>
          </w:p>
        </w:tc>
        <w:tc>
          <w:tcPr>
            <w:tcW w:w="3998"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w:t>
            </w:r>
            <w:r>
              <w:rPr>
                <w:rFonts w:hint="eastAsia"/>
                <w:shd w:val="clear" w:color="auto" w:fill="FFFFFF"/>
                <w:lang w:val="en-US" w:eastAsia="zh-CN"/>
              </w:rPr>
              <w:t>&lt;</w:t>
            </w:r>
            <w:r>
              <w:rPr>
                <w:shd w:val="clear" w:color="auto" w:fill="FFFFFF"/>
              </w:rPr>
              <w:t xml:space="preserve"> 48°</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32 – 25log</w:t>
            </w:r>
            <w:r>
              <w:rPr>
                <w:vertAlign w:val="subscript"/>
                <w:lang w:val="en-US"/>
              </w:rPr>
              <w:t>10</w:t>
            </w:r>
            <w:r>
              <w:rPr>
                <w:lang w:val="en-US"/>
              </w:rPr>
              <w:t>(</w:t>
            </w:r>
            <w:r>
              <w:t>φ)</w:t>
            </w:r>
            <w:r>
              <w:rPr>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rPr>
                <w:shd w:val="clear" w:color="auto" w:fill="FFFFFF"/>
              </w:rPr>
              <w:t xml:space="preserve">48° ≤ </w:t>
            </w:r>
            <w:r>
              <w:t>φ</w:t>
            </w:r>
            <w:r>
              <w:rPr>
                <w:shd w:val="clear" w:color="auto" w:fill="FFFFFF"/>
              </w:rPr>
              <w:t xml:space="preserve"> ≤ 85°</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rPr>
                <w:shd w:val="clear" w:color="auto" w:fill="FFFFFF"/>
              </w:rPr>
              <w:t xml:space="preserve">85° ≤ </w:t>
            </w:r>
            <w:r>
              <w:t>φ</w:t>
            </w:r>
            <w:r>
              <w:rPr>
                <w:shd w:val="clear" w:color="auto" w:fill="FFFFFF"/>
              </w:rPr>
              <w:t xml:space="preserve"> ≤ 180°</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9" w:type="dxa"/>
            <w:gridSpan w:val="2"/>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Pr>
                <w:lang w:val="en-US" w:eastAsia="fr-FR"/>
              </w:rPr>
              <w:t xml:space="preserve"> whichever is the greater, for D/</w:t>
            </w:r>
            <w:r>
              <w:rPr>
                <w:rFonts w:cs="Arial"/>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eastAsia="fr-FR"/>
              </w:rPr>
            </w:pPr>
            <w:r>
              <w:tab/>
            </w:r>
            <w:r>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Pr>
                <w:lang w:val="en-US" w:eastAsia="fr-FR"/>
              </w:rPr>
              <w:t xml:space="preserve"> whichever is the greater, for D/</w:t>
            </w:r>
            <w:r>
              <w:rPr>
                <w:rFonts w:cs="Arial"/>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eastAsia="fr-FR"/>
              </w:rPr>
              <w:tab/>
            </w:r>
            <w:r>
              <w:rPr>
                <w:lang w:val="en-US" w:eastAsia="fr-FR"/>
              </w:rPr>
              <w:t>w</w:t>
            </w:r>
            <w:r>
              <w:rPr>
                <w:lang w:val="en-US"/>
              </w:rPr>
              <w:t>here D is the nominal diameter of the antenna</w:t>
            </w:r>
          </w:p>
        </w:tc>
      </w:tr>
    </w:tbl>
    <w:p>
      <w:pPr>
        <w:pStyle w:val="56"/>
        <w:rPr>
          <w:lang w:val="en-US"/>
        </w:rPr>
      </w:pPr>
      <w:r>
        <w:t xml:space="preserve">Table </w:t>
      </w:r>
      <w:r>
        <w:rPr>
          <w:rFonts w:hint="eastAsia"/>
          <w:lang w:val="en-US" w:eastAsia="zh-CN"/>
        </w:rPr>
        <w:t>2.5</w:t>
      </w:r>
      <w:r>
        <w:t>-2: Off-axis Cross-polarized gain limit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shd w:val="clear" w:color="auto" w:fill="FFFFFF"/>
              </w:rPr>
            </w:pPr>
            <w:r>
              <w:t>φ</w:t>
            </w:r>
            <w:r>
              <w:rPr>
                <w:shd w:val="clear" w:color="auto" w:fill="FFFFFF"/>
              </w:rPr>
              <w:t xml:space="preserve"> value (degree)</w:t>
            </w:r>
          </w:p>
        </w:tc>
        <w:tc>
          <w:tcPr>
            <w:tcW w:w="3984"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lang w:val="en-US"/>
              </w:rPr>
            </w:pPr>
            <w:r>
              <w:rPr>
                <w:lang w:val="en-US"/>
              </w:rPr>
              <w:t>23 – 20log</w:t>
            </w:r>
            <w:r>
              <w:rPr>
                <w:vertAlign w:val="subscript"/>
                <w:lang w:val="en-US"/>
              </w:rPr>
              <w:t>10</w:t>
            </w:r>
            <w:r>
              <w:rPr>
                <w:lang w:val="en-US"/>
              </w:rPr>
              <w:t>(</w:t>
            </w:r>
            <w: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shd w:val="clear" w:color="auto" w:fill="FFFFFF"/>
                <w:lang w:val="en-US" w:eastAsia="zh-CN"/>
              </w:rPr>
              <w:t>7</w:t>
            </w:r>
            <w:r>
              <w:rPr>
                <w:shd w:val="clear" w:color="auto" w:fill="FFFFFF"/>
              </w:rPr>
              <w:t xml:space="preserve">°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w:t>
            </w:r>
            <w:r>
              <w:rPr>
                <w:rFonts w:hint="eastAsia"/>
                <w:shd w:val="clear" w:color="auto" w:fill="FFFFFF"/>
                <w:lang w:val="en-US" w:eastAsia="zh-CN"/>
              </w:rPr>
              <w:t>32.3</w:t>
            </w:r>
            <w:r>
              <w:rPr>
                <w:shd w:val="clear" w:color="auto" w:fill="FFFFFF"/>
              </w:rPr>
              <w:t>°</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2</w:t>
            </w:r>
            <w:r>
              <w:rPr>
                <w:rFonts w:hint="eastAsia"/>
                <w:lang w:val="en-US" w:eastAsia="zh-CN"/>
              </w:rPr>
              <w:t>0.2</w:t>
            </w:r>
            <w:r>
              <w:rPr>
                <w:lang w:val="en-US"/>
              </w:rPr>
              <w:t xml:space="preserve"> – </w:t>
            </w:r>
            <w:r>
              <w:rPr>
                <w:rFonts w:hint="eastAsia"/>
                <w:lang w:val="en-US" w:eastAsia="zh-CN"/>
              </w:rPr>
              <w:t>16.7</w:t>
            </w:r>
            <w:r>
              <w:rPr>
                <w:lang w:val="en-US"/>
              </w:rPr>
              <w:t>log</w:t>
            </w:r>
            <w:r>
              <w:rPr>
                <w:vertAlign w:val="subscript"/>
                <w:lang w:val="en-US"/>
              </w:rPr>
              <w:t>10</w:t>
            </w:r>
            <w:r>
              <w:rPr>
                <w:lang w:val="en-US"/>
              </w:rPr>
              <w:t>(</w:t>
            </w:r>
            <w: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shd w:val="clear" w:color="auto" w:fill="FFFFFF"/>
                <w:lang w:val="en-US" w:eastAsia="zh-CN"/>
              </w:rPr>
              <w:t>32.3</w:t>
            </w:r>
            <w:r>
              <w:rPr>
                <w:shd w:val="clear" w:color="auto" w:fill="FFFFFF"/>
              </w:rPr>
              <w:t xml:space="preserve">°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w:t>
            </w:r>
            <w:r>
              <w:rPr>
                <w:rFonts w:hint="eastAsia"/>
                <w:shd w:val="clear" w:color="auto" w:fill="FFFFFF"/>
                <w:lang w:val="en-US" w:eastAsia="zh-CN"/>
              </w:rPr>
              <w:t>75</w:t>
            </w:r>
            <w:r>
              <w:rPr>
                <w:shd w:val="clear" w:color="auto" w:fill="FFFFFF"/>
              </w:rPr>
              <w:t>°</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shd w:val="clear" w:color="auto" w:fill="FFFFFF"/>
                <w:lang w:val="en-US" w:eastAsia="zh-CN"/>
              </w:rPr>
            </w:pPr>
            <w:r>
              <w:rPr>
                <w:rFonts w:hint="eastAsia"/>
                <w:shd w:val="clear" w:color="auto" w:fill="FFFFFF"/>
                <w:lang w:val="en-US" w:eastAsia="zh-CN"/>
              </w:rPr>
              <w:t>7</w:t>
            </w:r>
            <w:r>
              <w:rPr>
                <w:shd w:val="clear" w:color="auto" w:fill="FFFFFF"/>
              </w:rPr>
              <w:t xml:space="preserve">5°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180°</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70"/>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Pr>
                <w:lang w:val="en-US" w:eastAsia="fr-FR"/>
              </w:rPr>
              <w:t xml:space="preserve"> whichever is the greater </w:t>
            </w:r>
          </w:p>
          <w:p>
            <w:pPr>
              <w:pStyle w:val="70"/>
              <w:keepNext/>
              <w:keepLines/>
              <w:pageBreakBefore w:val="0"/>
              <w:widowControl/>
              <w:kinsoku/>
              <w:wordWrap/>
              <w:overflowPunct w:val="0"/>
              <w:topLinePunct w:val="0"/>
              <w:autoSpaceDE w:val="0"/>
              <w:autoSpaceDN w:val="0"/>
              <w:bidi w:val="0"/>
              <w:adjustRightInd w:val="0"/>
              <w:snapToGrid/>
              <w:spacing w:beforeLines="0" w:after="180" w:afterLines="0"/>
              <w:textAlignment w:val="baseline"/>
              <w:rPr>
                <w:lang w:val="en-US"/>
              </w:rPr>
            </w:pPr>
            <w:r>
              <w:rPr>
                <w:lang w:val="en-US" w:eastAsia="fr-FR"/>
              </w:rPr>
              <w:tab/>
            </w:r>
            <w:r>
              <w:rPr>
                <w:lang w:val="en-US" w:eastAsia="fr-FR"/>
              </w:rPr>
              <w:t>w</w:t>
            </w:r>
            <w:r>
              <w:rPr>
                <w:lang w:val="en-US"/>
              </w:rPr>
              <w:t>here D is the nominal diameter of the antenna</w:t>
            </w:r>
          </w:p>
        </w:tc>
      </w:tr>
    </w:tbl>
    <w:p>
      <w:pPr>
        <w:bidi w:val="0"/>
        <w:jc w:val="both"/>
        <w:rPr>
          <w:rFonts w:hint="default"/>
          <w:b w:val="0"/>
          <w:bCs w:val="0"/>
          <w:sz w:val="20"/>
          <w:szCs w:val="20"/>
          <w:lang w:val="en-US" w:eastAsia="zh-CN"/>
        </w:rPr>
      </w:pPr>
      <w:r>
        <w:rPr>
          <w:rFonts w:hint="eastAsia"/>
          <w:b/>
          <w:bCs/>
          <w:sz w:val="20"/>
          <w:szCs w:val="20"/>
          <w:lang w:val="en-US" w:eastAsia="zh-CN"/>
        </w:rPr>
        <w:t xml:space="preserve">Proposal 7: It is proposed to define the receiver antenna off-axis gain of each co-polarized and cross-polarized components as Table 2.5-1 and Table 2.5-2 respectively </w:t>
      </w:r>
      <w:r>
        <w:rPr>
          <w:rFonts w:hint="eastAsia"/>
          <w:b/>
          <w:bCs/>
          <w:sz w:val="20"/>
          <w:szCs w:val="18"/>
          <w:lang w:val="en-US" w:eastAsia="zh-CN"/>
        </w:rPr>
        <w:t>for CEPT Ku band</w:t>
      </w:r>
      <w:r>
        <w:rPr>
          <w:rFonts w:hint="eastAsia"/>
          <w:b/>
          <w:bCs/>
          <w:sz w:val="20"/>
          <w:szCs w:val="20"/>
          <w:lang w:val="en-US" w:eastAsia="zh-CN"/>
        </w:rPr>
        <w:t>.</w:t>
      </w:r>
    </w:p>
    <w:p>
      <w:pPr>
        <w:bidi w:val="0"/>
        <w:jc w:val="both"/>
        <w:rPr>
          <w:rFonts w:hint="default"/>
          <w:b/>
          <w:bCs/>
          <w:sz w:val="20"/>
          <w:szCs w:val="20"/>
          <w:lang w:val="en-US" w:eastAsia="zh-CN"/>
        </w:rPr>
      </w:pPr>
      <w:bookmarkStart w:id="8" w:name="_GoBack"/>
      <w:bookmarkEnd w:id="8"/>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ascii="Times New Roman" w:hAnsi="Times New Roman" w:eastAsia="宋体" w:cs="Times New Roman"/>
          <w:b w:val="0"/>
          <w:bCs w:val="0"/>
          <w:kern w:val="0"/>
          <w:sz w:val="20"/>
          <w:szCs w:val="20"/>
          <w:highlight w:val="none"/>
          <w:lang w:val="en-US" w:eastAsia="zh-CN" w:bidi="ar-SA"/>
        </w:rPr>
      </w:pPr>
      <w:r>
        <w:rPr>
          <w:rFonts w:hint="eastAsia"/>
          <w:b/>
          <w:bCs/>
          <w:sz w:val="20"/>
          <w:szCs w:val="20"/>
          <w:lang w:val="en-US" w:eastAsia="zh-CN"/>
        </w:rPr>
        <w:t xml:space="preserve">Proposal 1: We propose to add a note to clarify the relaxation conditions for </w:t>
      </w:r>
      <w:r>
        <w:rPr>
          <w:b/>
          <w:bCs/>
          <w:sz w:val="20"/>
          <w:szCs w:val="20"/>
        </w:rPr>
        <w:t>φ &gt; 70°</w:t>
      </w:r>
      <w:r>
        <w:rPr>
          <w:rFonts w:hint="eastAsia"/>
          <w:b/>
          <w:bCs/>
          <w:sz w:val="20"/>
          <w:szCs w:val="20"/>
          <w:lang w:val="en-US" w:eastAsia="zh-CN"/>
        </w:rPr>
        <w:t xml:space="preserve"> and define off-axis EIRP requirements for the CEPT Ku band as Table 2.1-1.</w:t>
      </w:r>
    </w:p>
    <w:p>
      <w:pPr>
        <w:pStyle w:val="56"/>
        <w:rPr>
          <w:rFonts w:hint="default" w:eastAsia="宋体"/>
          <w:lang w:val="en-US" w:eastAsia="zh-CN"/>
        </w:rPr>
      </w:pPr>
      <w:r>
        <w:t xml:space="preserve">Table 2.1-1: Off-axis EIRP density limits for </w:t>
      </w:r>
      <w:r>
        <w:rPr>
          <w:lang w:val="en-US"/>
        </w:rPr>
        <w:t>co-polarized transmissions</w:t>
      </w:r>
      <w:r>
        <w:rPr>
          <w:rFonts w:hint="eastAsia"/>
          <w:lang w:val="en-US" w:eastAsia="zh-CN"/>
        </w:rPr>
        <w:t xml:space="preserve"> for band n248 and n509</w:t>
      </w:r>
    </w:p>
    <w:tbl>
      <w:tblPr>
        <w:tblStyle w:val="24"/>
        <w:tblW w:w="0" w:type="auto"/>
        <w:tblInd w:w="7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0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θ value</w:t>
            </w:r>
          </w:p>
        </w:tc>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Maximum Off-axis EIRP (dBm)</w:t>
            </w:r>
          </w:p>
        </w:tc>
        <w:tc>
          <w:tcPr>
            <w:tcW w:w="1514"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rFonts w:hint="eastAsia"/>
                <w:shd w:val="clear" w:color="auto" w:fill="FFFFFF"/>
                <w:lang w:val="en-US" w:eastAsia="zh-CN"/>
              </w:rPr>
              <w:t>2.5</w:t>
            </w:r>
            <w:r>
              <w:rPr>
                <w:shd w:val="clear" w:color="auto" w:fill="FFFFFF"/>
              </w:rPr>
              <w:t>° ≤ θ ≤ 7°</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63</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7° ≤ θ ≤ 9.2°</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42</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9.2° ≤ θ ≤ 48°</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66</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48° &lt; θ</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2</w:t>
            </w:r>
            <w:r>
              <w:rPr>
                <w:rFonts w:hint="eastAsia"/>
                <w:lang w:val="en-US" w:eastAsia="zh-CN"/>
              </w:rPr>
              <w:t>4</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3" w:type="dxa"/>
            <w:gridSpan w:val="3"/>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eastAsia="fr-FR"/>
              </w:rPr>
            </w:pPr>
            <w:r>
              <w:rPr>
                <w:lang w:val="en-US"/>
              </w:rPr>
              <w:t>NOTE</w:t>
            </w:r>
            <w:r>
              <w:rPr>
                <w:rFonts w:hint="eastAsia"/>
                <w:lang w:val="en-US" w:eastAsia="zh-CN"/>
              </w:rPr>
              <w:t xml:space="preserve"> 1</w:t>
            </w:r>
            <w:r>
              <w:rPr>
                <w:lang w:val="en-US"/>
              </w:rPr>
              <w:t>:</w:t>
            </w:r>
            <w:r>
              <w:rPr>
                <w:lang w:val="en-US"/>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rFonts w:hint="eastAsia"/>
                <w:lang w:val="en-US" w:eastAsia="zh-CN"/>
              </w:rPr>
              <w:t>mobile</w:t>
            </w:r>
            <w:r>
              <w:rPr>
                <w:lang w:val="en-US" w:eastAsia="fr-FR"/>
              </w:rPr>
              <w:t xml:space="preserve"> VSAT</w:t>
            </w:r>
            <w:r>
              <w:rPr>
                <w:lang w:eastAsia="fr-FR"/>
              </w:rPr>
              <w:t xml:space="preserve"> transmits at any one time on a given carrier frequency</w:t>
            </w:r>
            <w:r>
              <w:rPr>
                <w:lang w:val="en-US" w:eastAsia="fr-FR"/>
              </w:rPr>
              <w:t>. See sub-clause 4.2.</w:t>
            </w:r>
            <w:r>
              <w:rPr>
                <w:rFonts w:hint="eastAsia"/>
                <w:lang w:val="en-US" w:eastAsia="zh-CN"/>
              </w:rPr>
              <w:t>3</w:t>
            </w:r>
            <w:r>
              <w:rPr>
                <w:lang w:val="en-US" w:eastAsia="fr-FR"/>
              </w:rPr>
              <w:t xml:space="preserve">.2 in </w:t>
            </w:r>
            <w:r>
              <w:rPr>
                <w:rFonts w:hint="eastAsia"/>
                <w:lang w:val="en-US" w:eastAsia="fr-FR"/>
              </w:rPr>
              <w:t>EN 30</w:t>
            </w:r>
            <w:r>
              <w:rPr>
                <w:rFonts w:hint="eastAsia"/>
                <w:lang w:val="en-US" w:eastAsia="zh-CN"/>
              </w:rPr>
              <w:t>1 428</w:t>
            </w:r>
            <w:r>
              <w:rPr>
                <w:lang w:val="en-US" w:eastAsia="fr-FR"/>
              </w:rPr>
              <w:t>. The manufacturer shall declare the value of N.</w:t>
            </w:r>
          </w:p>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NOTE</w:t>
            </w:r>
            <w:r>
              <w:rPr>
                <w:rFonts w:hint="eastAsia"/>
                <w:lang w:val="en-US" w:eastAsia="zh-CN"/>
              </w:rPr>
              <w:t xml:space="preserve"> 2</w:t>
            </w:r>
            <w:r>
              <w:rPr>
                <w:lang w:val="en-US"/>
              </w:rPr>
              <w:t>:</w:t>
            </w:r>
            <w:r>
              <w:rPr>
                <w:lang w:val="en-US"/>
              </w:rPr>
              <w:tab/>
            </w:r>
            <w:r>
              <w:rPr>
                <w:rFonts w:hint="eastAsia"/>
                <w:lang w:val="en-US"/>
              </w:rPr>
              <w:t xml:space="preserve">For </w:t>
            </w:r>
            <w:r>
              <w:rPr>
                <w:shd w:val="clear" w:color="auto" w:fill="FFFFFF"/>
              </w:rPr>
              <w:t>θ</w:t>
            </w:r>
            <w:r>
              <w:rPr>
                <w:rFonts w:hint="eastAsia"/>
                <w:lang w:val="en-US"/>
              </w:rPr>
              <w:t>&gt; 70</w:t>
            </w:r>
            <w:r>
              <w:rPr>
                <w:shd w:val="clear" w:color="auto" w:fill="FFFFFF"/>
              </w:rPr>
              <w:t>°</w:t>
            </w:r>
            <w:r>
              <w:rPr>
                <w:rFonts w:hint="eastAsia"/>
                <w:lang w:val="en-US"/>
              </w:rPr>
              <w:t xml:space="preserve"> the values given above may be increased to 4 - H dBW over the range of angles for which the particular feed system may give rise to relatively high levels of spillover.</w:t>
            </w:r>
          </w:p>
        </w:tc>
      </w:tr>
    </w:tbl>
    <w:p>
      <w:r>
        <w:rPr>
          <w:rFonts w:hint="eastAsia"/>
          <w:b/>
          <w:bCs/>
          <w:sz w:val="20"/>
          <w:szCs w:val="20"/>
          <w:lang w:val="en-US" w:eastAsia="zh-CN"/>
        </w:rPr>
        <w:t>Proposal 2: We propose to define off-axis EIRP density limits for cross-polarized component for CEPT Ku band as Table 2.1-2.</w:t>
      </w:r>
    </w:p>
    <w:p>
      <w:pPr>
        <w:pStyle w:val="56"/>
        <w:rPr>
          <w:lang w:val="en-US"/>
        </w:rPr>
      </w:pPr>
      <w:r>
        <w:t xml:space="preserve">Table 2.1-2: Off-axis EIRP density limits for </w:t>
      </w:r>
      <w:r>
        <w:rPr>
          <w:lang w:val="en-US"/>
        </w:rPr>
        <w:t>cross-polarized transmissions</w:t>
      </w:r>
    </w:p>
    <w:tbl>
      <w:tblPr>
        <w:tblStyle w:val="24"/>
        <w:tblW w:w="0" w:type="auto"/>
        <w:tblInd w:w="7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09"/>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θ value</w:t>
            </w:r>
          </w:p>
        </w:tc>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Maximum Off-axis EIRP (dBm)</w:t>
            </w:r>
          </w:p>
        </w:tc>
        <w:tc>
          <w:tcPr>
            <w:tcW w:w="1514"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rFonts w:hint="eastAsia"/>
                <w:shd w:val="clear" w:color="auto" w:fill="FFFFFF"/>
                <w:lang w:val="en-US" w:eastAsia="zh-CN"/>
              </w:rPr>
              <w:t>2.5</w:t>
            </w:r>
            <w:r>
              <w:rPr>
                <w:shd w:val="clear" w:color="auto" w:fill="FFFFFF"/>
              </w:rPr>
              <w:t>° ≤ θ ≤ 7°</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53</w:t>
            </w:r>
            <w:r>
              <w:rPr>
                <w:lang w:val="en-US"/>
              </w:rPr>
              <w:t xml:space="preserve"> – 25log</w:t>
            </w:r>
            <w:r>
              <w:rPr>
                <w:vertAlign w:val="subscript"/>
                <w:lang w:val="en-US"/>
              </w:rPr>
              <w:t>10</w:t>
            </w:r>
            <w:r>
              <w:rPr>
                <w:lang w:val="en-US"/>
              </w:rPr>
              <w:t>(</w:t>
            </w:r>
            <w:r>
              <w:rPr>
                <w:shd w:val="clear" w:color="auto" w:fill="FFFFFF"/>
              </w:rPr>
              <w:t>θ</w:t>
            </w:r>
            <w:r>
              <w:rPr>
                <w:lang w:val="en-US"/>
              </w:rPr>
              <w:t>)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shd w:val="clear" w:color="auto" w:fill="FFFFFF"/>
              </w:rPr>
            </w:pPr>
            <w:r>
              <w:rPr>
                <w:shd w:val="clear" w:color="auto" w:fill="FFFFFF"/>
              </w:rPr>
              <w:t>7° ≤ θ ≤ 9.2°</w:t>
            </w:r>
          </w:p>
        </w:tc>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32</w:t>
            </w:r>
            <w:r>
              <w:rPr>
                <w:lang w:val="en-US"/>
              </w:rPr>
              <w:t xml:space="preserve"> – K</w:t>
            </w:r>
          </w:p>
        </w:tc>
        <w:tc>
          <w:tcPr>
            <w:tcW w:w="151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3" w:type="dxa"/>
            <w:gridSpan w:val="3"/>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NOTE:</w:t>
            </w:r>
            <w:r>
              <w:rPr>
                <w:shd w:val="clear" w:color="auto" w:fill="FFFFFF"/>
              </w:rPr>
              <w:t xml:space="preserve"> </w:t>
            </w:r>
            <w:r>
              <w:rPr>
                <w:shd w:val="clear" w:color="auto" w:fill="FFFFFF"/>
              </w:rPr>
              <w:tab/>
            </w:r>
            <w:r>
              <w:rPr>
                <w:lang w:val="en-US"/>
              </w:rPr>
              <w:t xml:space="preserve">K=10log(N)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rFonts w:hint="eastAsia"/>
                <w:lang w:val="en-US" w:eastAsia="zh-CN"/>
              </w:rPr>
              <w:t>mobile</w:t>
            </w:r>
            <w:r>
              <w:rPr>
                <w:lang w:val="en-US" w:eastAsia="fr-FR"/>
              </w:rPr>
              <w:t xml:space="preserve"> VSAT</w:t>
            </w:r>
            <w:r>
              <w:rPr>
                <w:lang w:eastAsia="fr-FR"/>
              </w:rPr>
              <w:t xml:space="preserve"> transmits at any one time on a given carrier frequency</w:t>
            </w:r>
            <w:r>
              <w:rPr>
                <w:lang w:val="en-US" w:eastAsia="fr-FR"/>
              </w:rPr>
              <w:t>. See sub-clause 4.2.</w:t>
            </w:r>
            <w:r>
              <w:rPr>
                <w:rFonts w:hint="eastAsia"/>
                <w:lang w:val="en-US" w:eastAsia="zh-CN"/>
              </w:rPr>
              <w:t>3</w:t>
            </w:r>
            <w:r>
              <w:rPr>
                <w:lang w:val="en-US" w:eastAsia="fr-FR"/>
              </w:rPr>
              <w:t xml:space="preserve">.2 in </w:t>
            </w:r>
            <w:r>
              <w:rPr>
                <w:rFonts w:hint="eastAsia"/>
                <w:lang w:val="en-US" w:eastAsia="fr-FR"/>
              </w:rPr>
              <w:t>EN 30</w:t>
            </w:r>
            <w:r>
              <w:rPr>
                <w:rFonts w:hint="eastAsia"/>
                <w:lang w:val="en-US" w:eastAsia="zh-CN"/>
              </w:rPr>
              <w:t>1 428</w:t>
            </w:r>
            <w:r>
              <w:rPr>
                <w:lang w:val="en-US" w:eastAsia="fr-FR"/>
              </w:rPr>
              <w:t>. The manufacturer shall declare the value of N.</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bidi w:val="0"/>
        <w:jc w:val="both"/>
        <w:rPr>
          <w:rFonts w:hint="eastAsia"/>
          <w:b/>
          <w:bCs/>
          <w:sz w:val="20"/>
          <w:szCs w:val="20"/>
          <w:lang w:val="en-US" w:eastAsia="zh-CN"/>
        </w:rPr>
      </w:pPr>
      <w:r>
        <w:rPr>
          <w:rFonts w:hint="eastAsia"/>
          <w:b/>
          <w:bCs/>
          <w:sz w:val="20"/>
          <w:szCs w:val="20"/>
          <w:lang w:val="en-US" w:eastAsia="zh-CN"/>
        </w:rPr>
        <w:t xml:space="preserve">Proposal 3: </w:t>
      </w:r>
      <w:r>
        <w:rPr>
          <w:rFonts w:hint="eastAsia"/>
          <w:b/>
          <w:bCs/>
          <w:sz w:val="20"/>
          <w:szCs w:val="18"/>
          <w:lang w:val="en-US" w:eastAsia="zh-CN"/>
        </w:rPr>
        <w:t xml:space="preserve">It is proposed to define on-axis spurious limits in </w:t>
      </w:r>
      <w:r>
        <w:rPr>
          <w:rFonts w:hint="default"/>
          <w:b/>
          <w:bCs/>
          <w:sz w:val="20"/>
          <w:szCs w:val="18"/>
          <w:lang w:val="en-US" w:eastAsia="zh-CN"/>
        </w:rPr>
        <w:t>“</w:t>
      </w:r>
      <w:r>
        <w:rPr>
          <w:rFonts w:hint="eastAsia"/>
          <w:b/>
          <w:bCs/>
          <w:sz w:val="20"/>
          <w:szCs w:val="18"/>
          <w:lang w:val="en-US" w:eastAsia="zh-CN"/>
        </w:rPr>
        <w:t>Carrier-on</w:t>
      </w:r>
      <w:r>
        <w:rPr>
          <w:rFonts w:hint="default"/>
          <w:b/>
          <w:bCs/>
          <w:sz w:val="20"/>
          <w:szCs w:val="18"/>
          <w:lang w:val="en-US" w:eastAsia="zh-CN"/>
        </w:rPr>
        <w:t>”</w:t>
      </w:r>
      <w:r>
        <w:rPr>
          <w:rFonts w:hint="eastAsia"/>
          <w:b/>
          <w:bCs/>
          <w:sz w:val="20"/>
          <w:szCs w:val="18"/>
          <w:lang w:val="en-US" w:eastAsia="zh-CN"/>
        </w:rPr>
        <w:t xml:space="preserve"> state for CEPT Ku band as Table 2.2-1 and 2.2-2.</w:t>
      </w:r>
    </w:p>
    <w:p>
      <w:pPr>
        <w:pStyle w:val="56"/>
        <w:rPr>
          <w:lang w:val="en-US"/>
        </w:rPr>
      </w:pPr>
      <w:r>
        <w:rPr>
          <w:lang w:val="en-US"/>
        </w:rPr>
        <w:t>Table 2.2-1: On-axis spurious limits in “Carrier-on” state - outside</w:t>
      </w:r>
    </w:p>
    <w:tbl>
      <w:tblPr>
        <w:tblStyle w:val="24"/>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(GHz)</w:t>
            </w:r>
          </w:p>
        </w:tc>
        <w:tc>
          <w:tcPr>
            <w:tcW w:w="2410"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NTN VSAT type</w:t>
            </w:r>
          </w:p>
        </w:tc>
        <w:tc>
          <w:tcPr>
            <w:tcW w:w="2693"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(dBm)</w:t>
            </w:r>
          </w:p>
        </w:tc>
        <w:tc>
          <w:tcPr>
            <w:tcW w:w="2410"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w:t>
            </w:r>
            <w:r>
              <w:rPr>
                <w:rFonts w:hint="eastAsia"/>
                <w:lang w:val="en-US" w:eastAsia="zh-CN"/>
              </w:rPr>
              <w:t>k</w:t>
            </w:r>
            <w:r>
              <w:rPr>
                <w:lang w:val="en-US"/>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rFonts w:hint="eastAsia"/>
                <w:lang w:val="en-US" w:eastAsia="zh-CN"/>
              </w:rPr>
              <w:t>14.0</w:t>
            </w:r>
            <w:r>
              <w:rPr>
                <w:lang w:val="en-US"/>
              </w:rPr>
              <w:t xml:space="preserve"> – </w:t>
            </w:r>
            <w:r>
              <w:rPr>
                <w:rFonts w:hint="eastAsia"/>
                <w:lang w:val="en-US" w:eastAsia="zh-CN"/>
              </w:rPr>
              <w:t>14.5</w:t>
            </w:r>
          </w:p>
        </w:tc>
        <w:tc>
          <w:tcPr>
            <w:tcW w:w="2410"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4, 5</w:t>
            </w:r>
          </w:p>
        </w:tc>
        <w:tc>
          <w:tcPr>
            <w:tcW w:w="2693"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rFonts w:hint="eastAsia"/>
                <w:lang w:val="en-US" w:eastAsia="zh-CN"/>
              </w:rPr>
              <w:t>3</w:t>
            </w:r>
            <w:r>
              <w:rPr>
                <w:lang w:val="en-US"/>
              </w:rPr>
              <w:t>4 - K (NOTE)</w:t>
            </w:r>
          </w:p>
        </w:tc>
        <w:tc>
          <w:tcPr>
            <w:tcW w:w="2410"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lang w:val="en-US"/>
              </w:rPr>
              <w:t>1</w:t>
            </w:r>
            <w:r>
              <w:rPr>
                <w:rFonts w:hint="eastAsia"/>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w:t>
            </w:r>
            <w:r>
              <w:rPr>
                <w:rFonts w:hint="eastAsia"/>
                <w:lang w:val="en-US" w:eastAsia="zh-CN"/>
              </w:rPr>
              <w:t>EN 302 977</w:t>
            </w:r>
            <w:r>
              <w:rPr>
                <w:lang w:val="en-US" w:eastAsia="fr-FR"/>
              </w:rPr>
              <w:t>. The manufacturer shall declare the value of N.</w:t>
            </w:r>
          </w:p>
        </w:tc>
      </w:tr>
    </w:tbl>
    <w:p>
      <w:pPr>
        <w:rPr>
          <w:lang w:val="en-US"/>
        </w:rPr>
      </w:pPr>
    </w:p>
    <w:p>
      <w:pPr>
        <w:pStyle w:val="56"/>
        <w:rPr>
          <w:lang w:val="en-US"/>
        </w:rPr>
      </w:pPr>
      <w:r>
        <w:rPr>
          <w:lang w:val="en-US"/>
        </w:rPr>
        <w:t>Table 2.2-2: On-axis spurious limits in “Carrier-on” state - inside</w:t>
      </w:r>
    </w:p>
    <w:tbl>
      <w:tblPr>
        <w:tblStyle w:val="24"/>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(GHz)</w:t>
            </w:r>
          </w:p>
        </w:tc>
        <w:tc>
          <w:tcPr>
            <w:tcW w:w="24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NTN VSAT type</w:t>
            </w:r>
          </w:p>
        </w:tc>
        <w:tc>
          <w:tcPr>
            <w:tcW w:w="2693"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(dBm)</w:t>
            </w:r>
          </w:p>
        </w:tc>
        <w:tc>
          <w:tcPr>
            <w:tcW w:w="24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w:t>
            </w:r>
            <w:r>
              <w:rPr>
                <w:rFonts w:hint="eastAsia"/>
                <w:lang w:val="en-US" w:eastAsia="zh-CN"/>
              </w:rPr>
              <w:t>k</w:t>
            </w:r>
            <w:r>
              <w:rPr>
                <w:lang w:val="en-US"/>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14.0</w:t>
            </w:r>
            <w:r>
              <w:rPr>
                <w:lang w:val="en-US"/>
              </w:rPr>
              <w:t xml:space="preserve"> – </w:t>
            </w:r>
            <w:r>
              <w:rPr>
                <w:rFonts w:hint="eastAsia"/>
                <w:lang w:val="en-US" w:eastAsia="zh-CN"/>
              </w:rPr>
              <w:t>14.5</w:t>
            </w:r>
          </w:p>
        </w:tc>
        <w:tc>
          <w:tcPr>
            <w:tcW w:w="24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rPr>
              <w:t>4</w:t>
            </w:r>
            <w:r>
              <w:rPr>
                <w:lang w:val="en-US"/>
              </w:rPr>
              <w:t>, 5</w:t>
            </w:r>
          </w:p>
        </w:tc>
        <w:tc>
          <w:tcPr>
            <w:tcW w:w="2693"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4</w:t>
            </w:r>
            <w:r>
              <w:rPr>
                <w:lang w:val="en-US"/>
              </w:rPr>
              <w:t>8 - K (NOTE)</w:t>
            </w:r>
          </w:p>
        </w:tc>
        <w:tc>
          <w:tcPr>
            <w:tcW w:w="24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1</w:t>
            </w:r>
            <w:r>
              <w:rPr>
                <w:rFonts w:hint="eastAsia"/>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70"/>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w:t>
            </w:r>
            <w:r>
              <w:rPr>
                <w:rFonts w:hint="eastAsia"/>
                <w:lang w:val="en-US" w:eastAsia="zh-CN"/>
              </w:rPr>
              <w:t>EN 302 977</w:t>
            </w:r>
            <w:r>
              <w:rPr>
                <w:lang w:val="en-US" w:eastAsia="fr-FR"/>
              </w:rPr>
              <w:t>. The manufacturer shall declare the value of N.</w:t>
            </w:r>
          </w:p>
        </w:tc>
      </w:tr>
    </w:tbl>
    <w:p>
      <w:pPr>
        <w:rPr>
          <w:rFonts w:hint="eastAsia" w:ascii="Times New Roman" w:hAnsi="Times New Roman" w:eastAsia="宋体" w:cs="Times New Roman"/>
          <w:b w:val="0"/>
          <w:bCs w:val="0"/>
          <w:kern w:val="0"/>
          <w:sz w:val="20"/>
          <w:szCs w:val="20"/>
          <w:highlight w:val="none"/>
          <w:lang w:val="en-US" w:eastAsia="zh-CN" w:bidi="ar-SA"/>
        </w:rPr>
      </w:pPr>
      <w:r>
        <w:rPr>
          <w:rFonts w:hint="eastAsia"/>
          <w:b/>
          <w:bCs/>
          <w:sz w:val="20"/>
          <w:szCs w:val="20"/>
          <w:lang w:val="en-US" w:eastAsia="zh-CN"/>
        </w:rPr>
        <w:t xml:space="preserve">Proposal 4: We propose to use the same requirement for both NGSO and GSO considering 100kHz measurement bandwidth as Table 2.3-1 </w:t>
      </w:r>
      <w:r>
        <w:rPr>
          <w:rFonts w:hint="eastAsia"/>
          <w:b/>
          <w:bCs/>
          <w:sz w:val="20"/>
          <w:szCs w:val="18"/>
          <w:lang w:val="en-US" w:eastAsia="zh-CN"/>
        </w:rPr>
        <w:t>for CEPT Ku band</w:t>
      </w:r>
      <w:r>
        <w:rPr>
          <w:rFonts w:hint="eastAsia"/>
          <w:b/>
          <w:bCs/>
          <w:sz w:val="20"/>
          <w:szCs w:val="20"/>
          <w:lang w:val="en-US" w:eastAsia="zh-CN"/>
        </w:rPr>
        <w:t>.</w:t>
      </w:r>
    </w:p>
    <w:p>
      <w:pPr>
        <w:pStyle w:val="56"/>
        <w:rPr>
          <w:lang w:val="en-US"/>
        </w:rPr>
      </w:pPr>
      <w:r>
        <w:rPr>
          <w:lang w:val="en-US"/>
        </w:rPr>
        <w:t xml:space="preserve">Table </w:t>
      </w:r>
      <w:r>
        <w:rPr>
          <w:rFonts w:hint="eastAsia"/>
          <w:lang w:val="en-US" w:eastAsia="zh-CN"/>
        </w:rPr>
        <w:t>2</w:t>
      </w:r>
      <w:r>
        <w:rPr>
          <w:lang w:val="en-US"/>
        </w:rPr>
        <w:t>.3-1: Off-axis spurious limits in “Carrier-on” and “Carrier-off” states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Frequency range</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(GHz)</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EIRP Limit</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(dBm)</w:t>
            </w:r>
          </w:p>
        </w:tc>
        <w:tc>
          <w:tcPr>
            <w:tcW w:w="3210" w:type="dxa"/>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Measurement bandwidth</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 xml:space="preserve">1.00 – </w:t>
            </w:r>
            <w:r>
              <w:rPr>
                <w:rFonts w:hint="eastAsia"/>
                <w:lang w:val="en-US" w:eastAsia="zh-CN"/>
              </w:rPr>
              <w:t>2.00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lang w:val="en-US"/>
              </w:rPr>
              <w:t>-4</w:t>
            </w:r>
            <w:r>
              <w:rPr>
                <w:rFonts w:hint="eastAsia"/>
                <w:lang w:val="en-US" w:eastAsia="zh-CN"/>
              </w:rPr>
              <w:t>7</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rFonts w:hint="eastAsia"/>
                <w:lang w:val="en-US" w:eastAsia="zh-CN"/>
              </w:rPr>
              <w:t>2</w:t>
            </w:r>
            <w:r>
              <w:rPr>
                <w:lang w:val="en-US"/>
              </w:rPr>
              <w:t xml:space="preserve">.00 – </w:t>
            </w:r>
            <w:r>
              <w:rPr>
                <w:rFonts w:hint="eastAsia"/>
                <w:lang w:val="en-US" w:eastAsia="zh-CN"/>
              </w:rPr>
              <w:t>3.40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-41</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3.40 – 10.70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-35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 xml:space="preserve">10.70 – </w:t>
            </w:r>
            <w:r>
              <w:rPr>
                <w:rFonts w:hint="eastAsia"/>
                <w:lang w:val="en-US" w:eastAsia="zh-CN"/>
              </w:rPr>
              <w:t>13.75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-29</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13.75</w:t>
            </w:r>
            <w:r>
              <w:rPr>
                <w:lang w:val="en-US"/>
              </w:rPr>
              <w:t xml:space="preserve"> – </w:t>
            </w:r>
            <w:r>
              <w:rPr>
                <w:rFonts w:hint="eastAsia"/>
                <w:lang w:val="en-US" w:eastAsia="zh-CN"/>
              </w:rPr>
              <w:t>14.00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rFonts w:hint="eastAsia"/>
                <w:lang w:val="en-US" w:eastAsia="zh-CN"/>
              </w:rPr>
              <w:t>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14.</w:t>
            </w:r>
            <w:r>
              <w:rPr>
                <w:lang w:val="en-US"/>
              </w:rPr>
              <w:t>5</w:t>
            </w:r>
            <w:r>
              <w:rPr>
                <w:rFonts w:hint="eastAsia"/>
                <w:lang w:val="en-US" w:eastAsia="zh-CN"/>
              </w:rPr>
              <w:t>0</w:t>
            </w:r>
            <w:r>
              <w:rPr>
                <w:lang w:val="en-US"/>
              </w:rPr>
              <w:t xml:space="preserve"> – </w:t>
            </w:r>
            <w:r>
              <w:rPr>
                <w:rFonts w:hint="eastAsia"/>
                <w:lang w:val="en-US" w:eastAsia="zh-CN"/>
              </w:rPr>
              <w:t>14.75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r>
              <w:rPr>
                <w:lang w:val="en-US"/>
              </w:rPr>
              <w:t>5</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lang w:val="en-US"/>
              </w:rPr>
              <w:t>1</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14.75</w:t>
            </w:r>
            <w:r>
              <w:rPr>
                <w:lang w:val="en-US"/>
              </w:rPr>
              <w:t xml:space="preserve"> – </w:t>
            </w:r>
            <w:r>
              <w:rPr>
                <w:rFonts w:hint="eastAsia"/>
                <w:lang w:val="en-US" w:eastAsia="zh-CN"/>
              </w:rPr>
              <w:t>21.20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lang w:val="en-US"/>
              </w:rPr>
              <w:t>-</w:t>
            </w:r>
            <w:r>
              <w:rPr>
                <w:rFonts w:hint="eastAsia"/>
                <w:lang w:val="en-US" w:eastAsia="zh-CN"/>
              </w:rPr>
              <w:t>29</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21.20</w:t>
            </w:r>
            <w:r>
              <w:rPr>
                <w:lang w:val="en-US"/>
              </w:rPr>
              <w:t xml:space="preserve"> – </w:t>
            </w:r>
            <w:r>
              <w:rPr>
                <w:rFonts w:hint="eastAsia"/>
                <w:lang w:val="en-US" w:eastAsia="zh-CN"/>
              </w:rPr>
              <w:t>60.00</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-23</w:t>
            </w:r>
          </w:p>
        </w:tc>
        <w:tc>
          <w:tcPr>
            <w:tcW w:w="321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0.1</w:t>
            </w:r>
          </w:p>
        </w:tc>
      </w:tr>
    </w:tbl>
    <w:p>
      <w:pPr>
        <w:bidi w:val="0"/>
        <w:jc w:val="both"/>
        <w:rPr>
          <w:rFonts w:hint="eastAsia"/>
          <w:b/>
          <w:bCs/>
          <w:sz w:val="20"/>
          <w:szCs w:val="20"/>
          <w:lang w:val="en-US" w:eastAsia="zh-CN"/>
        </w:rPr>
      </w:pPr>
      <w:r>
        <w:rPr>
          <w:rFonts w:hint="eastAsia"/>
          <w:b/>
          <w:bCs/>
          <w:sz w:val="20"/>
          <w:szCs w:val="20"/>
          <w:lang w:val="en-US" w:eastAsia="zh-CN"/>
        </w:rPr>
        <w:t>Proposal 5: The minimum EIS could be defined as -131 dBm for 10MHz, and for the other channel bandwidth the corresponding EIS requirement could be scaled with PRB based compared with 10MHz for both GSO and LEO.</w:t>
      </w:r>
    </w:p>
    <w:p>
      <w:pPr>
        <w:rPr>
          <w:rFonts w:hint="default"/>
          <w:b/>
          <w:bCs/>
          <w:sz w:val="20"/>
          <w:szCs w:val="20"/>
          <w:lang w:val="en-US" w:eastAsia="zh-CN"/>
        </w:rPr>
      </w:pPr>
      <w:r>
        <w:rPr>
          <w:rFonts w:hint="eastAsia"/>
          <w:b/>
          <w:bCs/>
          <w:sz w:val="20"/>
          <w:szCs w:val="20"/>
          <w:lang w:val="en-US" w:eastAsia="zh-CN"/>
        </w:rPr>
        <w:t>Proposal 6: The target SNR used for the maximum input level calculation needs further discussion.</w:t>
      </w:r>
    </w:p>
    <w:p>
      <w:pPr>
        <w:bidi w:val="0"/>
        <w:jc w:val="both"/>
        <w:rPr>
          <w:rFonts w:hint="eastAsia"/>
          <w:b/>
          <w:bCs/>
          <w:sz w:val="20"/>
          <w:szCs w:val="20"/>
          <w:lang w:val="en-US" w:eastAsia="zh-CN"/>
        </w:rPr>
      </w:pPr>
      <w:r>
        <w:rPr>
          <w:rFonts w:hint="eastAsia"/>
          <w:b/>
          <w:bCs/>
          <w:sz w:val="20"/>
          <w:szCs w:val="20"/>
          <w:lang w:val="en-US" w:eastAsia="zh-CN"/>
        </w:rPr>
        <w:t>Observation 1: For receiver antenna off-axis performance, EN 303 977 and EN 302 340 have the same requirement for mobile VSAT with GSO operating in CEPT Ku band as defined in TS 38.101-5 for Ka band.</w:t>
      </w:r>
    </w:p>
    <w:p>
      <w:pPr>
        <w:bidi w:val="0"/>
        <w:jc w:val="both"/>
        <w:rPr>
          <w:rFonts w:hint="eastAsia"/>
          <w:b/>
          <w:bCs/>
          <w:sz w:val="20"/>
          <w:szCs w:val="20"/>
          <w:lang w:val="en-US" w:eastAsia="zh-CN"/>
        </w:rPr>
      </w:pPr>
      <w:r>
        <w:rPr>
          <w:rFonts w:hint="eastAsia"/>
          <w:b/>
          <w:bCs/>
          <w:sz w:val="20"/>
          <w:szCs w:val="20"/>
          <w:lang w:val="en-US" w:eastAsia="zh-CN"/>
        </w:rPr>
        <w:t xml:space="preserve">Observation 2: EN 303 981 defines two sets of receiver antenna off-axis performance for two classes of mobile VSAT with NGSO for </w:t>
      </w:r>
      <w:r>
        <w:rPr>
          <w:rFonts w:hint="eastAsia"/>
          <w:b/>
          <w:bCs/>
          <w:sz w:val="20"/>
          <w:szCs w:val="18"/>
          <w:lang w:val="en-US" w:eastAsia="zh-CN"/>
        </w:rPr>
        <w:t xml:space="preserve">CEPT </w:t>
      </w:r>
      <w:r>
        <w:rPr>
          <w:rFonts w:hint="eastAsia"/>
          <w:b/>
          <w:bCs/>
          <w:sz w:val="20"/>
          <w:szCs w:val="20"/>
          <w:lang w:val="en-US" w:eastAsia="zh-CN"/>
        </w:rPr>
        <w:t>Ku band.</w:t>
      </w:r>
    </w:p>
    <w:p>
      <w:pPr>
        <w:bidi w:val="0"/>
        <w:jc w:val="both"/>
        <w:rPr>
          <w:rFonts w:hint="default"/>
          <w:b w:val="0"/>
          <w:bCs w:val="0"/>
          <w:sz w:val="20"/>
          <w:szCs w:val="20"/>
          <w:lang w:val="en-US" w:eastAsia="zh-CN"/>
        </w:rPr>
      </w:pPr>
      <w:r>
        <w:rPr>
          <w:rFonts w:hint="eastAsia"/>
          <w:b/>
          <w:bCs/>
          <w:sz w:val="20"/>
          <w:szCs w:val="20"/>
          <w:lang w:val="en-US" w:eastAsia="zh-CN"/>
        </w:rPr>
        <w:t xml:space="preserve">Proposal 7: It is proposed to define the receiver antenna off-axis gain of each co-polarized and cross-polarized components as Table 2.5-1 and Table 2.5-2 respectively </w:t>
      </w:r>
      <w:r>
        <w:rPr>
          <w:rFonts w:hint="eastAsia"/>
          <w:b/>
          <w:bCs/>
          <w:sz w:val="20"/>
          <w:szCs w:val="18"/>
          <w:lang w:val="en-US" w:eastAsia="zh-CN"/>
        </w:rPr>
        <w:t>for CEPT Ku band</w:t>
      </w:r>
      <w:r>
        <w:rPr>
          <w:rFonts w:hint="eastAsia"/>
          <w:b/>
          <w:bCs/>
          <w:sz w:val="20"/>
          <w:szCs w:val="20"/>
          <w:lang w:val="en-US" w:eastAsia="zh-CN"/>
        </w:rPr>
        <w:t>.</w:t>
      </w:r>
    </w:p>
    <w:p>
      <w:pPr>
        <w:bidi w:val="0"/>
        <w:jc w:val="both"/>
        <w:rPr>
          <w:rFonts w:hint="eastAsia"/>
          <w:b w:val="0"/>
          <w:bCs w:val="0"/>
          <w:sz w:val="20"/>
          <w:szCs w:val="20"/>
          <w:lang w:val="en-US" w:eastAsia="zh-CN"/>
        </w:rPr>
      </w:pPr>
    </w:p>
    <w:p>
      <w:pPr>
        <w:pStyle w:val="56"/>
        <w:rPr>
          <w:lang w:val="en-US"/>
        </w:rPr>
      </w:pPr>
      <w:r>
        <w:t xml:space="preserve">Table </w:t>
      </w:r>
      <w:r>
        <w:rPr>
          <w:rFonts w:hint="eastAsia"/>
          <w:lang w:val="en-US" w:eastAsia="zh-CN"/>
        </w:rPr>
        <w:t>2.5</w:t>
      </w:r>
      <w:r>
        <w:t>-1: Off-axis Co-polarized gain limit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1"/>
        <w:gridCol w:w="3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t>φ</w:t>
            </w:r>
            <w:r>
              <w:rPr>
                <w:shd w:val="clear" w:color="auto" w:fill="FFFFFF"/>
              </w:rPr>
              <w:t xml:space="preserve"> value (degree)</w:t>
            </w:r>
          </w:p>
        </w:tc>
        <w:tc>
          <w:tcPr>
            <w:tcW w:w="3998" w:type="dxa"/>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w:t>
            </w:r>
            <w:r>
              <w:rPr>
                <w:rFonts w:hint="eastAsia"/>
                <w:shd w:val="clear" w:color="auto" w:fill="FFFFFF"/>
                <w:lang w:val="en-US" w:eastAsia="zh-CN"/>
              </w:rPr>
              <w:t>&lt;</w:t>
            </w:r>
            <w:r>
              <w:rPr>
                <w:shd w:val="clear" w:color="auto" w:fill="FFFFFF"/>
              </w:rPr>
              <w:t xml:space="preserve"> 48°</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32 – 25log</w:t>
            </w:r>
            <w:r>
              <w:rPr>
                <w:vertAlign w:val="subscript"/>
                <w:lang w:val="en-US"/>
              </w:rPr>
              <w:t>10</w:t>
            </w:r>
            <w:r>
              <w:rPr>
                <w:lang w:val="en-US"/>
              </w:rPr>
              <w:t>(</w:t>
            </w:r>
            <w:r>
              <w:t>φ)</w:t>
            </w:r>
            <w:r>
              <w:rPr>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rPr>
                <w:shd w:val="clear" w:color="auto" w:fill="FFFFFF"/>
              </w:rPr>
              <w:t xml:space="preserve">48° ≤ </w:t>
            </w:r>
            <w:r>
              <w:t>φ</w:t>
            </w:r>
            <w:r>
              <w:rPr>
                <w:shd w:val="clear" w:color="auto" w:fill="FFFFFF"/>
              </w:rPr>
              <w:t xml:space="preserve"> ≤ 85°</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21"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shd w:val="clear" w:color="auto" w:fill="FFFFFF"/>
              </w:rPr>
            </w:pPr>
            <w:r>
              <w:rPr>
                <w:shd w:val="clear" w:color="auto" w:fill="FFFFFF"/>
              </w:rPr>
              <w:t xml:space="preserve">85° ≤ </w:t>
            </w:r>
            <w:r>
              <w:t>φ</w:t>
            </w:r>
            <w:r>
              <w:rPr>
                <w:shd w:val="clear" w:color="auto" w:fill="FFFFFF"/>
              </w:rPr>
              <w:t xml:space="preserve"> ≤ 180°</w:t>
            </w:r>
          </w:p>
        </w:tc>
        <w:tc>
          <w:tcPr>
            <w:tcW w:w="3998" w:type="dxa"/>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19" w:type="dxa"/>
            <w:gridSpan w:val="2"/>
          </w:tcPr>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Pr>
                <w:lang w:val="en-US" w:eastAsia="fr-FR"/>
              </w:rPr>
              <w:t xml:space="preserve"> whichever is the greater, for D/</w:t>
            </w:r>
            <w:r>
              <w:rPr>
                <w:rFonts w:cs="Arial"/>
              </w:rPr>
              <w:t>λ</w:t>
            </w:r>
            <w:r>
              <w:rPr>
                <w:rFonts w:ascii="Symbol" w:hAnsi="Symbol" w:cs="Symbol"/>
                <w:lang w:val="zh-CN" w:eastAsia="fr-FR"/>
              </w:rPr>
              <w:t></w:t>
            </w:r>
            <w:r>
              <w:rPr>
                <w:rFonts w:hint="eastAsia" w:ascii="T13" w:eastAsia="T13" w:cs="T13"/>
                <w:lang w:val="en-US" w:eastAsia="fr-FR"/>
              </w:rPr>
              <w:t>≥</w:t>
            </w:r>
            <w:r>
              <w:rPr>
                <w:rFonts w:ascii="T13" w:eastAsia="T13" w:cs="T13"/>
                <w:lang w:val="en-US" w:eastAsia="fr-FR"/>
              </w:rPr>
              <w:t xml:space="preserve"> </w:t>
            </w:r>
            <w:r>
              <w:rPr>
                <w:lang w:val="en-US" w:eastAsia="fr-FR"/>
              </w:rPr>
              <w:t xml:space="preserve">50.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eastAsia="fr-FR"/>
              </w:rPr>
            </w:pPr>
            <w:r>
              <w:tab/>
            </w:r>
            <w:r>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Pr>
                <w:lang w:val="en-US" w:eastAsia="fr-FR"/>
              </w:rPr>
              <w:t xml:space="preserve"> whichever is the greater, for D/</w:t>
            </w:r>
            <w:r>
              <w:rPr>
                <w:rFonts w:cs="Arial"/>
              </w:rPr>
              <w:t>λ</w:t>
            </w:r>
            <w:r>
              <w:rPr>
                <w:rFonts w:ascii="Symbol" w:hAnsi="Symbol" w:cs="Symbol"/>
                <w:lang w:val="zh-CN" w:eastAsia="fr-FR"/>
              </w:rPr>
              <w:t></w:t>
            </w:r>
            <w:r>
              <w:rPr>
                <w:rFonts w:ascii="Symbol" w:hAnsi="Symbol" w:cs="Symbol"/>
                <w:lang w:val="en-US" w:eastAsia="fr-FR"/>
              </w:rPr>
              <w:t></w:t>
            </w:r>
            <w:r>
              <w:rPr>
                <w:rFonts w:ascii="T13" w:eastAsia="T13" w:cs="T13"/>
                <w:lang w:val="en-US" w:eastAsia="fr-FR"/>
              </w:rPr>
              <w:t xml:space="preserve"> </w:t>
            </w:r>
            <w:r>
              <w:rPr>
                <w:lang w:val="en-US" w:eastAsia="fr-FR"/>
              </w:rPr>
              <w:t xml:space="preserve">50. </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eastAsia="fr-FR"/>
              </w:rPr>
              <w:tab/>
            </w:r>
            <w:r>
              <w:rPr>
                <w:lang w:val="en-US" w:eastAsia="fr-FR"/>
              </w:rPr>
              <w:t>w</w:t>
            </w:r>
            <w:r>
              <w:rPr>
                <w:lang w:val="en-US"/>
              </w:rPr>
              <w:t>here D is the nominal diameter of the antenna</w:t>
            </w:r>
          </w:p>
        </w:tc>
      </w:tr>
    </w:tbl>
    <w:p>
      <w:pPr>
        <w:pStyle w:val="56"/>
        <w:rPr>
          <w:lang w:val="en-US"/>
        </w:rPr>
      </w:pPr>
      <w:r>
        <w:t xml:space="preserve">Table </w:t>
      </w:r>
      <w:r>
        <w:rPr>
          <w:rFonts w:hint="eastAsia"/>
          <w:lang w:val="en-US" w:eastAsia="zh-CN"/>
        </w:rPr>
        <w:t>2.5</w:t>
      </w:r>
      <w:r>
        <w:t>-2: Off-axis Cross-polarized gain limit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shd w:val="clear" w:color="auto" w:fill="FFFFFF"/>
              </w:rPr>
            </w:pPr>
            <w:r>
              <w:t>φ</w:t>
            </w:r>
            <w:r>
              <w:rPr>
                <w:shd w:val="clear" w:color="auto" w:fill="FFFFFF"/>
              </w:rPr>
              <w:t xml:space="preserve"> value (degree)</w:t>
            </w:r>
          </w:p>
        </w:tc>
        <w:tc>
          <w:tcPr>
            <w:tcW w:w="3984" w:type="dxa"/>
          </w:tcPr>
          <w:p>
            <w:pPr>
              <w:pStyle w:val="65"/>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lang w:val="en-US"/>
              </w:rPr>
            </w:pPr>
            <w:r>
              <w:rPr>
                <w:lang w:val="en-US"/>
              </w:rPr>
              <w:t>gain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pPr>
              <w:pStyle w:val="57"/>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lang w:val="en-US"/>
              </w:rPr>
            </w:pPr>
            <w:r>
              <w:rPr>
                <w:lang w:val="en-US"/>
              </w:rPr>
              <w:t>23 – 20log</w:t>
            </w:r>
            <w:r>
              <w:rPr>
                <w:vertAlign w:val="subscript"/>
                <w:lang w:val="en-US"/>
              </w:rPr>
              <w:t>10</w:t>
            </w:r>
            <w:r>
              <w:rPr>
                <w:lang w:val="en-US"/>
              </w:rPr>
              <w:t>(</w:t>
            </w:r>
            <w: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shd w:val="clear" w:color="auto" w:fill="FFFFFF"/>
                <w:lang w:val="en-US" w:eastAsia="zh-CN"/>
              </w:rPr>
              <w:t>7</w:t>
            </w:r>
            <w:r>
              <w:rPr>
                <w:shd w:val="clear" w:color="auto" w:fill="FFFFFF"/>
              </w:rPr>
              <w:t xml:space="preserve">°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w:t>
            </w:r>
            <w:r>
              <w:rPr>
                <w:rFonts w:hint="eastAsia"/>
                <w:shd w:val="clear" w:color="auto" w:fill="FFFFFF"/>
                <w:lang w:val="en-US" w:eastAsia="zh-CN"/>
              </w:rPr>
              <w:t>32.3</w:t>
            </w:r>
            <w:r>
              <w:rPr>
                <w:shd w:val="clear" w:color="auto" w:fill="FFFFFF"/>
              </w:rPr>
              <w:t>°</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lang w:val="en-US"/>
              </w:rPr>
              <w:t>2</w:t>
            </w:r>
            <w:r>
              <w:rPr>
                <w:rFonts w:hint="eastAsia"/>
                <w:lang w:val="en-US" w:eastAsia="zh-CN"/>
              </w:rPr>
              <w:t>0.2</w:t>
            </w:r>
            <w:r>
              <w:rPr>
                <w:lang w:val="en-US"/>
              </w:rPr>
              <w:t xml:space="preserve"> – </w:t>
            </w:r>
            <w:r>
              <w:rPr>
                <w:rFonts w:hint="eastAsia"/>
                <w:lang w:val="en-US" w:eastAsia="zh-CN"/>
              </w:rPr>
              <w:t>16.7</w:t>
            </w:r>
            <w:r>
              <w:rPr>
                <w:lang w:val="en-US"/>
              </w:rPr>
              <w:t>log</w:t>
            </w:r>
            <w:r>
              <w:rPr>
                <w:vertAlign w:val="subscript"/>
                <w:lang w:val="en-US"/>
              </w:rPr>
              <w:t>10</w:t>
            </w:r>
            <w:r>
              <w:rPr>
                <w:lang w:val="en-US"/>
              </w:rPr>
              <w:t>(</w:t>
            </w:r>
            <w:r>
              <w:t>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pPr>
            <w:r>
              <w:rPr>
                <w:rFonts w:hint="eastAsia"/>
                <w:shd w:val="clear" w:color="auto" w:fill="FFFFFF"/>
                <w:lang w:val="en-US" w:eastAsia="zh-CN"/>
              </w:rPr>
              <w:t>32.3</w:t>
            </w:r>
            <w:r>
              <w:rPr>
                <w:shd w:val="clear" w:color="auto" w:fill="FFFFFF"/>
              </w:rPr>
              <w:t xml:space="preserve">°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w:t>
            </w:r>
            <w:r>
              <w:rPr>
                <w:rFonts w:hint="eastAsia"/>
                <w:shd w:val="clear" w:color="auto" w:fill="FFFFFF"/>
                <w:lang w:val="en-US" w:eastAsia="zh-CN"/>
              </w:rPr>
              <w:t>75</w:t>
            </w:r>
            <w:r>
              <w:rPr>
                <w:shd w:val="clear" w:color="auto" w:fill="FFFFFF"/>
              </w:rPr>
              <w:t>°</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lang w:val="en-US"/>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10"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eastAsia"/>
                <w:shd w:val="clear" w:color="auto" w:fill="FFFFFF"/>
                <w:lang w:val="en-US" w:eastAsia="zh-CN"/>
              </w:rPr>
            </w:pPr>
            <w:r>
              <w:rPr>
                <w:rFonts w:hint="eastAsia"/>
                <w:shd w:val="clear" w:color="auto" w:fill="FFFFFF"/>
                <w:lang w:val="en-US" w:eastAsia="zh-CN"/>
              </w:rPr>
              <w:t>7</w:t>
            </w:r>
            <w:r>
              <w:rPr>
                <w:shd w:val="clear" w:color="auto" w:fill="FFFFFF"/>
              </w:rPr>
              <w:t xml:space="preserve">5° </w:t>
            </w:r>
            <w:r>
              <w:rPr>
                <w:rFonts w:hint="eastAsia"/>
                <w:shd w:val="clear" w:color="auto" w:fill="FFFFFF"/>
                <w:lang w:val="en-US" w:eastAsia="zh-CN"/>
              </w:rPr>
              <w:t>&lt;</w:t>
            </w:r>
            <w:r>
              <w:rPr>
                <w:shd w:val="clear" w:color="auto" w:fill="FFFFFF"/>
              </w:rPr>
              <w:t xml:space="preserve"> </w:t>
            </w:r>
            <w:r>
              <w:t>φ</w:t>
            </w:r>
            <w:r>
              <w:rPr>
                <w:shd w:val="clear" w:color="auto" w:fill="FFFFFF"/>
              </w:rPr>
              <w:t xml:space="preserve"> ≤ 180°</w:t>
            </w:r>
          </w:p>
        </w:tc>
        <w:tc>
          <w:tcPr>
            <w:tcW w:w="3984" w:type="dxa"/>
            <w:vAlign w:val="top"/>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hint="default"/>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4" w:type="dxa"/>
            <w:gridSpan w:val="2"/>
          </w:tcPr>
          <w:p>
            <w:pPr>
              <w:pStyle w:val="70"/>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Pr>
                <w:lang w:val="en-US" w:eastAsia="fr-FR"/>
              </w:rPr>
              <w:t xml:space="preserve"> whichever is the greater </w:t>
            </w:r>
          </w:p>
          <w:p>
            <w:pPr>
              <w:pStyle w:val="70"/>
              <w:keepNext/>
              <w:keepLines/>
              <w:pageBreakBefore w:val="0"/>
              <w:widowControl/>
              <w:kinsoku/>
              <w:wordWrap/>
              <w:overflowPunct w:val="0"/>
              <w:topLinePunct w:val="0"/>
              <w:autoSpaceDE w:val="0"/>
              <w:autoSpaceDN w:val="0"/>
              <w:bidi w:val="0"/>
              <w:adjustRightInd w:val="0"/>
              <w:snapToGrid/>
              <w:spacing w:beforeLines="0" w:after="180" w:afterLines="0" w:line="240" w:lineRule="auto"/>
              <w:textAlignment w:val="baseline"/>
              <w:rPr>
                <w:lang w:val="en-US"/>
              </w:rPr>
            </w:pPr>
            <w:r>
              <w:rPr>
                <w:lang w:val="en-US" w:eastAsia="fr-FR"/>
              </w:rPr>
              <w:tab/>
            </w:r>
            <w:r>
              <w:rPr>
                <w:lang w:val="en-US" w:eastAsia="fr-FR"/>
              </w:rPr>
              <w:t>w</w:t>
            </w:r>
            <w:r>
              <w:rPr>
                <w:lang w:val="en-US"/>
              </w:rPr>
              <w:t>here D is the nominal diameter of the antenna</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RP-250799, Revised WID: Introduction of Ku bands for NR NTN, Intelsat et al.</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R4-2502288</w:t>
      </w:r>
      <w:r>
        <w:rPr>
          <w:rFonts w:hint="eastAsia"/>
          <w:color w:val="auto"/>
          <w:lang w:val="en-US" w:eastAsia="zh-CN"/>
        </w:rPr>
        <w:t>, Way Forward for [114][314] NR_NTN_Ku_Band_UE_SAN_RF, Moderator (CHTTL)</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R4-2402522</w:t>
      </w:r>
      <w:r>
        <w:rPr>
          <w:rFonts w:hint="eastAsia"/>
          <w:color w:val="auto"/>
          <w:lang w:val="en-US" w:eastAsia="zh-CN"/>
        </w:rPr>
        <w:t>, Further discussion on UE RF Rx requirements for NTN in Ka-band, ZTE Corporation</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w:t>
      </w:r>
      <w:r>
        <w:rPr>
          <w:rFonts w:hint="eastAsia"/>
          <w:color w:val="auto"/>
          <w:lang w:val="en-US" w:eastAsia="zh-CN"/>
        </w:rPr>
        <w:t>564</w:t>
      </w:r>
      <w:r>
        <w:rPr>
          <w:rFonts w:hint="default"/>
          <w:color w:val="auto"/>
          <w:lang w:val="en-US" w:eastAsia="zh-CN"/>
        </w:rPr>
        <w:t>2</w:t>
      </w:r>
      <w:r>
        <w:rPr>
          <w:rFonts w:hint="eastAsia"/>
          <w:color w:val="auto"/>
          <w:lang w:val="en-US" w:eastAsia="zh-CN"/>
        </w:rPr>
        <w:t>, Further discussion on UE RF Rx requirements for NTN in Ka-band, ZTE Corporation</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R4-2402063</w:t>
      </w:r>
      <w:r>
        <w:rPr>
          <w:rFonts w:hint="eastAsia"/>
          <w:color w:val="auto"/>
          <w:lang w:val="en-US" w:eastAsia="zh-CN"/>
        </w:rPr>
        <w:t>, Discussion on Rx requirement for Ka band NTN UE, Huawei, HiSilicon</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Yu Mincho">
    <w:altName w:val="Yu Gothic UI"/>
    <w:panose1 w:val="02020400000000000000"/>
    <w:charset w:val="80"/>
    <w:family w:val="roman"/>
    <w:pitch w:val="default"/>
    <w:sig w:usb0="00000000" w:usb1="00000000" w:usb2="00000012" w:usb3="00000000" w:csb0="0002009F" w:csb1="00000000"/>
  </w:font>
  <w:font w:name="T13">
    <w:altName w:val="Yu Gothic"/>
    <w:panose1 w:val="00000000000000000000"/>
    <w:charset w:val="80"/>
    <w:family w:val="swiss"/>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7"/>
  </w:num>
  <w:num w:numId="4">
    <w:abstractNumId w:val="4"/>
  </w:num>
  <w:num w:numId="5">
    <w:abstractNumId w:val="5"/>
  </w:num>
  <w:num w:numId="6">
    <w:abstractNumId w:val="1"/>
  </w:num>
  <w:num w:numId="7">
    <w:abstractNumId w:val="0"/>
  </w:num>
  <w:num w:numId="8">
    <w:abstractNumId w:val="10"/>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EE28B6"/>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5177"/>
    <w:rsid w:val="01101B26"/>
    <w:rsid w:val="011A0B49"/>
    <w:rsid w:val="013E51BE"/>
    <w:rsid w:val="014A0623"/>
    <w:rsid w:val="01536583"/>
    <w:rsid w:val="0156475D"/>
    <w:rsid w:val="015D3EF3"/>
    <w:rsid w:val="016112D3"/>
    <w:rsid w:val="0165788D"/>
    <w:rsid w:val="01757513"/>
    <w:rsid w:val="01764F01"/>
    <w:rsid w:val="018107C9"/>
    <w:rsid w:val="0183684B"/>
    <w:rsid w:val="01854FE9"/>
    <w:rsid w:val="018A47AD"/>
    <w:rsid w:val="018E207B"/>
    <w:rsid w:val="0190283E"/>
    <w:rsid w:val="019C544F"/>
    <w:rsid w:val="019D155B"/>
    <w:rsid w:val="01A428BB"/>
    <w:rsid w:val="01AE307F"/>
    <w:rsid w:val="01B3282A"/>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1F6093"/>
    <w:rsid w:val="022D4A6E"/>
    <w:rsid w:val="023512AC"/>
    <w:rsid w:val="023B0A39"/>
    <w:rsid w:val="023C78A7"/>
    <w:rsid w:val="023F3FD3"/>
    <w:rsid w:val="02444B7E"/>
    <w:rsid w:val="024A5964"/>
    <w:rsid w:val="024B023C"/>
    <w:rsid w:val="024D6B6A"/>
    <w:rsid w:val="024E43D4"/>
    <w:rsid w:val="02510B5E"/>
    <w:rsid w:val="02566C17"/>
    <w:rsid w:val="025829A1"/>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B6CDA"/>
    <w:rsid w:val="03036B01"/>
    <w:rsid w:val="03052298"/>
    <w:rsid w:val="03073BDC"/>
    <w:rsid w:val="030A6B04"/>
    <w:rsid w:val="030B0647"/>
    <w:rsid w:val="030B2860"/>
    <w:rsid w:val="030C40C1"/>
    <w:rsid w:val="030D2F0B"/>
    <w:rsid w:val="031225C3"/>
    <w:rsid w:val="03147E4E"/>
    <w:rsid w:val="03187492"/>
    <w:rsid w:val="031A08DB"/>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B066B"/>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65723"/>
    <w:rsid w:val="04B14B03"/>
    <w:rsid w:val="04C16CF5"/>
    <w:rsid w:val="04CF6607"/>
    <w:rsid w:val="04D46535"/>
    <w:rsid w:val="04DA1A87"/>
    <w:rsid w:val="04DC0F32"/>
    <w:rsid w:val="04DE2DA3"/>
    <w:rsid w:val="04DF3C0B"/>
    <w:rsid w:val="04EB6DF8"/>
    <w:rsid w:val="04FA3A76"/>
    <w:rsid w:val="04FF1C94"/>
    <w:rsid w:val="04FF33CD"/>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B3F2F"/>
    <w:rsid w:val="059D265F"/>
    <w:rsid w:val="059E1515"/>
    <w:rsid w:val="05AD1B88"/>
    <w:rsid w:val="05B92EC1"/>
    <w:rsid w:val="05D05BD2"/>
    <w:rsid w:val="05DB542B"/>
    <w:rsid w:val="05E078B3"/>
    <w:rsid w:val="05E942A3"/>
    <w:rsid w:val="05EA759F"/>
    <w:rsid w:val="05EE6827"/>
    <w:rsid w:val="0601277E"/>
    <w:rsid w:val="060A2EF6"/>
    <w:rsid w:val="060C5AED"/>
    <w:rsid w:val="06103146"/>
    <w:rsid w:val="06172561"/>
    <w:rsid w:val="061E54DA"/>
    <w:rsid w:val="061E5E22"/>
    <w:rsid w:val="06223FD1"/>
    <w:rsid w:val="062B2FCF"/>
    <w:rsid w:val="063E31D0"/>
    <w:rsid w:val="063F63E4"/>
    <w:rsid w:val="06460B91"/>
    <w:rsid w:val="064E3838"/>
    <w:rsid w:val="0654187C"/>
    <w:rsid w:val="065475DE"/>
    <w:rsid w:val="06556C03"/>
    <w:rsid w:val="06676354"/>
    <w:rsid w:val="066E5330"/>
    <w:rsid w:val="06782F84"/>
    <w:rsid w:val="067C28D6"/>
    <w:rsid w:val="068A55C2"/>
    <w:rsid w:val="068E06BC"/>
    <w:rsid w:val="069201CB"/>
    <w:rsid w:val="06956E2E"/>
    <w:rsid w:val="06A73E04"/>
    <w:rsid w:val="06AC7765"/>
    <w:rsid w:val="06B62C91"/>
    <w:rsid w:val="06B741D9"/>
    <w:rsid w:val="06B756E7"/>
    <w:rsid w:val="06C457B6"/>
    <w:rsid w:val="06CA5532"/>
    <w:rsid w:val="06CD4A70"/>
    <w:rsid w:val="06DC48B6"/>
    <w:rsid w:val="06DF4C13"/>
    <w:rsid w:val="06E7678C"/>
    <w:rsid w:val="06EC7519"/>
    <w:rsid w:val="06F42A88"/>
    <w:rsid w:val="06F801C0"/>
    <w:rsid w:val="06FF7387"/>
    <w:rsid w:val="070644A9"/>
    <w:rsid w:val="070E5E48"/>
    <w:rsid w:val="07105178"/>
    <w:rsid w:val="0712124C"/>
    <w:rsid w:val="071C13A8"/>
    <w:rsid w:val="073D143C"/>
    <w:rsid w:val="074454BD"/>
    <w:rsid w:val="074855FD"/>
    <w:rsid w:val="075B2E87"/>
    <w:rsid w:val="07627CA0"/>
    <w:rsid w:val="076319C4"/>
    <w:rsid w:val="076925D2"/>
    <w:rsid w:val="077241E3"/>
    <w:rsid w:val="07734FD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43BE1"/>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2317E4"/>
    <w:rsid w:val="0A335AB8"/>
    <w:rsid w:val="0A355EAA"/>
    <w:rsid w:val="0A3708FF"/>
    <w:rsid w:val="0A3B01F9"/>
    <w:rsid w:val="0A3F0488"/>
    <w:rsid w:val="0A402A36"/>
    <w:rsid w:val="0A4236A3"/>
    <w:rsid w:val="0A4E7EF5"/>
    <w:rsid w:val="0A522AF4"/>
    <w:rsid w:val="0A596130"/>
    <w:rsid w:val="0A627392"/>
    <w:rsid w:val="0A646846"/>
    <w:rsid w:val="0A6B3DAF"/>
    <w:rsid w:val="0A7B4D83"/>
    <w:rsid w:val="0A7C1440"/>
    <w:rsid w:val="0A817CBD"/>
    <w:rsid w:val="0A8251CA"/>
    <w:rsid w:val="0A8828AB"/>
    <w:rsid w:val="0A927DC1"/>
    <w:rsid w:val="0A951165"/>
    <w:rsid w:val="0A9B4F7F"/>
    <w:rsid w:val="0A9C263A"/>
    <w:rsid w:val="0A9D54CD"/>
    <w:rsid w:val="0A9E3D3D"/>
    <w:rsid w:val="0AA077E0"/>
    <w:rsid w:val="0AA5327C"/>
    <w:rsid w:val="0AC01F88"/>
    <w:rsid w:val="0AC0212C"/>
    <w:rsid w:val="0AC17420"/>
    <w:rsid w:val="0AC3085F"/>
    <w:rsid w:val="0AD542C1"/>
    <w:rsid w:val="0ADD5A20"/>
    <w:rsid w:val="0AE10FD9"/>
    <w:rsid w:val="0AF13898"/>
    <w:rsid w:val="0AFA298B"/>
    <w:rsid w:val="0AFB3228"/>
    <w:rsid w:val="0AFC6C07"/>
    <w:rsid w:val="0AFD25E6"/>
    <w:rsid w:val="0AFF6A66"/>
    <w:rsid w:val="0B0130D7"/>
    <w:rsid w:val="0B0250FD"/>
    <w:rsid w:val="0B0331F5"/>
    <w:rsid w:val="0B0F025C"/>
    <w:rsid w:val="0B1A6333"/>
    <w:rsid w:val="0B267BFC"/>
    <w:rsid w:val="0B2713F4"/>
    <w:rsid w:val="0B2D2F43"/>
    <w:rsid w:val="0B334367"/>
    <w:rsid w:val="0B3B1BC1"/>
    <w:rsid w:val="0B3B5196"/>
    <w:rsid w:val="0B3D701F"/>
    <w:rsid w:val="0B3E7DD7"/>
    <w:rsid w:val="0B491629"/>
    <w:rsid w:val="0B4B40F9"/>
    <w:rsid w:val="0B554398"/>
    <w:rsid w:val="0B561995"/>
    <w:rsid w:val="0B5C2C2A"/>
    <w:rsid w:val="0B6148D2"/>
    <w:rsid w:val="0B665E0A"/>
    <w:rsid w:val="0B680DC4"/>
    <w:rsid w:val="0B6F6271"/>
    <w:rsid w:val="0B7C0E60"/>
    <w:rsid w:val="0B847B39"/>
    <w:rsid w:val="0B987E20"/>
    <w:rsid w:val="0B9E71DF"/>
    <w:rsid w:val="0BA65BCD"/>
    <w:rsid w:val="0BAD5CC5"/>
    <w:rsid w:val="0BAD5EDC"/>
    <w:rsid w:val="0BAF59B9"/>
    <w:rsid w:val="0BB524B8"/>
    <w:rsid w:val="0BB756DF"/>
    <w:rsid w:val="0BC63DB2"/>
    <w:rsid w:val="0BCC4043"/>
    <w:rsid w:val="0BCC4B6A"/>
    <w:rsid w:val="0BD66314"/>
    <w:rsid w:val="0BE2291A"/>
    <w:rsid w:val="0C07043D"/>
    <w:rsid w:val="0C0B2EA8"/>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74EE1"/>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BB2DE4"/>
    <w:rsid w:val="0DCC3AE8"/>
    <w:rsid w:val="0DD87842"/>
    <w:rsid w:val="0DDB2C34"/>
    <w:rsid w:val="0DDE2885"/>
    <w:rsid w:val="0DEF012A"/>
    <w:rsid w:val="0DF202E1"/>
    <w:rsid w:val="0DF53CE3"/>
    <w:rsid w:val="0DFC6867"/>
    <w:rsid w:val="0E0961C5"/>
    <w:rsid w:val="0E0C6AA6"/>
    <w:rsid w:val="0E147898"/>
    <w:rsid w:val="0E264DDB"/>
    <w:rsid w:val="0E2F216B"/>
    <w:rsid w:val="0E327317"/>
    <w:rsid w:val="0E3352C6"/>
    <w:rsid w:val="0E360EDA"/>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D7627B"/>
    <w:rsid w:val="0EEC6F1D"/>
    <w:rsid w:val="0F0621F6"/>
    <w:rsid w:val="0F084F33"/>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CF4195"/>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86F12"/>
    <w:rsid w:val="107C3E2C"/>
    <w:rsid w:val="107D41AE"/>
    <w:rsid w:val="1089095C"/>
    <w:rsid w:val="108C2479"/>
    <w:rsid w:val="10AC12D0"/>
    <w:rsid w:val="10B3132B"/>
    <w:rsid w:val="10B367A8"/>
    <w:rsid w:val="10C715C5"/>
    <w:rsid w:val="10D335EF"/>
    <w:rsid w:val="10E255A6"/>
    <w:rsid w:val="10E746EA"/>
    <w:rsid w:val="10E83FE0"/>
    <w:rsid w:val="10EC3168"/>
    <w:rsid w:val="10F02A44"/>
    <w:rsid w:val="10F52718"/>
    <w:rsid w:val="10F70AE6"/>
    <w:rsid w:val="10F80ADC"/>
    <w:rsid w:val="111071DE"/>
    <w:rsid w:val="11123EF8"/>
    <w:rsid w:val="11124F2E"/>
    <w:rsid w:val="11125358"/>
    <w:rsid w:val="111F38A5"/>
    <w:rsid w:val="111F6CBE"/>
    <w:rsid w:val="112D2A42"/>
    <w:rsid w:val="112D7B86"/>
    <w:rsid w:val="113A22DB"/>
    <w:rsid w:val="114028DC"/>
    <w:rsid w:val="11441C15"/>
    <w:rsid w:val="11583891"/>
    <w:rsid w:val="1159252B"/>
    <w:rsid w:val="1160765D"/>
    <w:rsid w:val="116C6652"/>
    <w:rsid w:val="116F1EB0"/>
    <w:rsid w:val="11727495"/>
    <w:rsid w:val="117A242E"/>
    <w:rsid w:val="117B1D6A"/>
    <w:rsid w:val="117C2D9D"/>
    <w:rsid w:val="117F159E"/>
    <w:rsid w:val="11821DC9"/>
    <w:rsid w:val="11824A0F"/>
    <w:rsid w:val="11897A08"/>
    <w:rsid w:val="11921373"/>
    <w:rsid w:val="119A72EE"/>
    <w:rsid w:val="119D7849"/>
    <w:rsid w:val="11A61272"/>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A65F4"/>
    <w:rsid w:val="120F1E38"/>
    <w:rsid w:val="1210682D"/>
    <w:rsid w:val="122215D3"/>
    <w:rsid w:val="122510AD"/>
    <w:rsid w:val="122F0F93"/>
    <w:rsid w:val="123A05DB"/>
    <w:rsid w:val="124240B9"/>
    <w:rsid w:val="124702AB"/>
    <w:rsid w:val="12491684"/>
    <w:rsid w:val="124D0988"/>
    <w:rsid w:val="124E44B4"/>
    <w:rsid w:val="125067C3"/>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B0B16"/>
    <w:rsid w:val="12EE5106"/>
    <w:rsid w:val="12F777F2"/>
    <w:rsid w:val="1307341C"/>
    <w:rsid w:val="130C40FE"/>
    <w:rsid w:val="130E3629"/>
    <w:rsid w:val="13125197"/>
    <w:rsid w:val="131B39DD"/>
    <w:rsid w:val="13283BA4"/>
    <w:rsid w:val="132974BB"/>
    <w:rsid w:val="13332F77"/>
    <w:rsid w:val="13334E1C"/>
    <w:rsid w:val="13346EE4"/>
    <w:rsid w:val="13354BA1"/>
    <w:rsid w:val="13384952"/>
    <w:rsid w:val="134B49D4"/>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662E7"/>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B4C11"/>
    <w:rsid w:val="14816B50"/>
    <w:rsid w:val="148313F4"/>
    <w:rsid w:val="1485665F"/>
    <w:rsid w:val="14934F1A"/>
    <w:rsid w:val="149411C1"/>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355FA8"/>
    <w:rsid w:val="154806E1"/>
    <w:rsid w:val="154D342A"/>
    <w:rsid w:val="15581ED5"/>
    <w:rsid w:val="1559587F"/>
    <w:rsid w:val="155E7DEC"/>
    <w:rsid w:val="15740334"/>
    <w:rsid w:val="1574662E"/>
    <w:rsid w:val="15751882"/>
    <w:rsid w:val="1575191B"/>
    <w:rsid w:val="157818C6"/>
    <w:rsid w:val="159F73BB"/>
    <w:rsid w:val="15A502D0"/>
    <w:rsid w:val="15AD52A1"/>
    <w:rsid w:val="15B03F28"/>
    <w:rsid w:val="15C15E25"/>
    <w:rsid w:val="15C42571"/>
    <w:rsid w:val="15E30A80"/>
    <w:rsid w:val="15E87214"/>
    <w:rsid w:val="15F1008F"/>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7F70BF"/>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7500B"/>
    <w:rsid w:val="16C86CDB"/>
    <w:rsid w:val="16CC2B4C"/>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72148A"/>
    <w:rsid w:val="17850F99"/>
    <w:rsid w:val="17875303"/>
    <w:rsid w:val="178815C4"/>
    <w:rsid w:val="17891C0B"/>
    <w:rsid w:val="178D6E7A"/>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2DB7"/>
    <w:rsid w:val="17F33DC6"/>
    <w:rsid w:val="17F45149"/>
    <w:rsid w:val="17FD061B"/>
    <w:rsid w:val="17FD20FD"/>
    <w:rsid w:val="17FF6314"/>
    <w:rsid w:val="18005F41"/>
    <w:rsid w:val="18025414"/>
    <w:rsid w:val="18171305"/>
    <w:rsid w:val="1820454C"/>
    <w:rsid w:val="1829280B"/>
    <w:rsid w:val="18327337"/>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8F365D"/>
    <w:rsid w:val="189252B6"/>
    <w:rsid w:val="18956393"/>
    <w:rsid w:val="189C5943"/>
    <w:rsid w:val="18A8582C"/>
    <w:rsid w:val="18B135C0"/>
    <w:rsid w:val="18B50543"/>
    <w:rsid w:val="18CA40C3"/>
    <w:rsid w:val="18CD7A02"/>
    <w:rsid w:val="18D82C17"/>
    <w:rsid w:val="18D904AC"/>
    <w:rsid w:val="18DC1AEF"/>
    <w:rsid w:val="18DF5689"/>
    <w:rsid w:val="18EA3EC7"/>
    <w:rsid w:val="18F74015"/>
    <w:rsid w:val="19001FFC"/>
    <w:rsid w:val="19002350"/>
    <w:rsid w:val="19083894"/>
    <w:rsid w:val="190E2B4A"/>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C2AA0"/>
    <w:rsid w:val="19CE5CE6"/>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099A"/>
    <w:rsid w:val="1BE32C74"/>
    <w:rsid w:val="1BF72906"/>
    <w:rsid w:val="1BFB481C"/>
    <w:rsid w:val="1BFE5FF9"/>
    <w:rsid w:val="1BFE7B2D"/>
    <w:rsid w:val="1C013494"/>
    <w:rsid w:val="1C053414"/>
    <w:rsid w:val="1C132CB9"/>
    <w:rsid w:val="1C1642A1"/>
    <w:rsid w:val="1C2146C5"/>
    <w:rsid w:val="1C240174"/>
    <w:rsid w:val="1C273D33"/>
    <w:rsid w:val="1C2B0BE0"/>
    <w:rsid w:val="1C4032AB"/>
    <w:rsid w:val="1C4672ED"/>
    <w:rsid w:val="1C467AB6"/>
    <w:rsid w:val="1C5800BC"/>
    <w:rsid w:val="1C591347"/>
    <w:rsid w:val="1C6277A9"/>
    <w:rsid w:val="1C7100AE"/>
    <w:rsid w:val="1C750818"/>
    <w:rsid w:val="1C7F54CE"/>
    <w:rsid w:val="1C7F743F"/>
    <w:rsid w:val="1C8C4AA9"/>
    <w:rsid w:val="1C8C604B"/>
    <w:rsid w:val="1C8F53D9"/>
    <w:rsid w:val="1C92160B"/>
    <w:rsid w:val="1C973EEF"/>
    <w:rsid w:val="1C9B77F5"/>
    <w:rsid w:val="1C9E22B6"/>
    <w:rsid w:val="1CA03243"/>
    <w:rsid w:val="1CAC112E"/>
    <w:rsid w:val="1CAF5DB2"/>
    <w:rsid w:val="1CB40DF1"/>
    <w:rsid w:val="1CB86812"/>
    <w:rsid w:val="1CB93C74"/>
    <w:rsid w:val="1CC11084"/>
    <w:rsid w:val="1CC71DD3"/>
    <w:rsid w:val="1CCC26CA"/>
    <w:rsid w:val="1CD2156B"/>
    <w:rsid w:val="1CD41743"/>
    <w:rsid w:val="1CD44D3D"/>
    <w:rsid w:val="1CD77F43"/>
    <w:rsid w:val="1CDA4887"/>
    <w:rsid w:val="1CE45EF5"/>
    <w:rsid w:val="1CE615C9"/>
    <w:rsid w:val="1CED1E7E"/>
    <w:rsid w:val="1D037029"/>
    <w:rsid w:val="1D0A6B98"/>
    <w:rsid w:val="1D227612"/>
    <w:rsid w:val="1D3305FF"/>
    <w:rsid w:val="1D395282"/>
    <w:rsid w:val="1D40749C"/>
    <w:rsid w:val="1D4251BA"/>
    <w:rsid w:val="1D4E4F63"/>
    <w:rsid w:val="1D5A65E9"/>
    <w:rsid w:val="1D5B2FF2"/>
    <w:rsid w:val="1D5F5386"/>
    <w:rsid w:val="1D70348C"/>
    <w:rsid w:val="1D7072CE"/>
    <w:rsid w:val="1D794A16"/>
    <w:rsid w:val="1D80759A"/>
    <w:rsid w:val="1D8A021B"/>
    <w:rsid w:val="1D935671"/>
    <w:rsid w:val="1D9E30A9"/>
    <w:rsid w:val="1DAB1006"/>
    <w:rsid w:val="1DAB2A0A"/>
    <w:rsid w:val="1DB33C11"/>
    <w:rsid w:val="1DC65562"/>
    <w:rsid w:val="1DD34749"/>
    <w:rsid w:val="1DD34B91"/>
    <w:rsid w:val="1DDD201B"/>
    <w:rsid w:val="1DE94164"/>
    <w:rsid w:val="1DEE1B11"/>
    <w:rsid w:val="1DEF316F"/>
    <w:rsid w:val="1E105A20"/>
    <w:rsid w:val="1E164B52"/>
    <w:rsid w:val="1E207CA6"/>
    <w:rsid w:val="1E26583C"/>
    <w:rsid w:val="1E273844"/>
    <w:rsid w:val="1E2945B6"/>
    <w:rsid w:val="1E2F243E"/>
    <w:rsid w:val="1E3B4F6B"/>
    <w:rsid w:val="1E3D2556"/>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850AF9"/>
    <w:rsid w:val="1F935819"/>
    <w:rsid w:val="1FA036A3"/>
    <w:rsid w:val="1FA628A2"/>
    <w:rsid w:val="1FA6556D"/>
    <w:rsid w:val="1FA73A37"/>
    <w:rsid w:val="1FAF2571"/>
    <w:rsid w:val="1FB33036"/>
    <w:rsid w:val="1FC55EDA"/>
    <w:rsid w:val="1FC658C9"/>
    <w:rsid w:val="1FCE593C"/>
    <w:rsid w:val="1FE312AC"/>
    <w:rsid w:val="1FEC5915"/>
    <w:rsid w:val="1FED32EF"/>
    <w:rsid w:val="1FF82884"/>
    <w:rsid w:val="200079F9"/>
    <w:rsid w:val="201E6D7C"/>
    <w:rsid w:val="20446081"/>
    <w:rsid w:val="204852AD"/>
    <w:rsid w:val="204A5E48"/>
    <w:rsid w:val="204A6449"/>
    <w:rsid w:val="204E6676"/>
    <w:rsid w:val="20523B02"/>
    <w:rsid w:val="20580C17"/>
    <w:rsid w:val="20595924"/>
    <w:rsid w:val="205A5AA0"/>
    <w:rsid w:val="206408C4"/>
    <w:rsid w:val="20773A28"/>
    <w:rsid w:val="208574F4"/>
    <w:rsid w:val="20872047"/>
    <w:rsid w:val="2089606E"/>
    <w:rsid w:val="208C4449"/>
    <w:rsid w:val="208F6BAF"/>
    <w:rsid w:val="209414DB"/>
    <w:rsid w:val="20A462BA"/>
    <w:rsid w:val="20BF2AAC"/>
    <w:rsid w:val="20C849C7"/>
    <w:rsid w:val="20DF66D2"/>
    <w:rsid w:val="20EC3F2E"/>
    <w:rsid w:val="20EC7C3E"/>
    <w:rsid w:val="20F07537"/>
    <w:rsid w:val="20FA77BC"/>
    <w:rsid w:val="210548E9"/>
    <w:rsid w:val="210C336C"/>
    <w:rsid w:val="210D14B3"/>
    <w:rsid w:val="21124D15"/>
    <w:rsid w:val="21164A79"/>
    <w:rsid w:val="211C7DEA"/>
    <w:rsid w:val="21332BF6"/>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06FD4"/>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14245"/>
    <w:rsid w:val="22925971"/>
    <w:rsid w:val="22945167"/>
    <w:rsid w:val="229B0BE2"/>
    <w:rsid w:val="22A55CD5"/>
    <w:rsid w:val="22C558BB"/>
    <w:rsid w:val="22C74EE2"/>
    <w:rsid w:val="22CA188A"/>
    <w:rsid w:val="22CB6237"/>
    <w:rsid w:val="22CD14B5"/>
    <w:rsid w:val="22E02C6E"/>
    <w:rsid w:val="22E04FF4"/>
    <w:rsid w:val="22E1121B"/>
    <w:rsid w:val="22EA4C70"/>
    <w:rsid w:val="22F15AB9"/>
    <w:rsid w:val="22F75251"/>
    <w:rsid w:val="22F7746D"/>
    <w:rsid w:val="22F86F75"/>
    <w:rsid w:val="22FB4D32"/>
    <w:rsid w:val="22FC72E3"/>
    <w:rsid w:val="23131055"/>
    <w:rsid w:val="23146AC2"/>
    <w:rsid w:val="232C2DD6"/>
    <w:rsid w:val="233C6F76"/>
    <w:rsid w:val="234449F5"/>
    <w:rsid w:val="23536618"/>
    <w:rsid w:val="236C1BCA"/>
    <w:rsid w:val="237464D5"/>
    <w:rsid w:val="23812C99"/>
    <w:rsid w:val="23816932"/>
    <w:rsid w:val="238E01E4"/>
    <w:rsid w:val="23925D42"/>
    <w:rsid w:val="239C062C"/>
    <w:rsid w:val="23A9484E"/>
    <w:rsid w:val="23B32F98"/>
    <w:rsid w:val="23B84268"/>
    <w:rsid w:val="23C64686"/>
    <w:rsid w:val="23D17D7B"/>
    <w:rsid w:val="23D36D91"/>
    <w:rsid w:val="23E02099"/>
    <w:rsid w:val="23E65AD0"/>
    <w:rsid w:val="23EF1757"/>
    <w:rsid w:val="23F70BA5"/>
    <w:rsid w:val="23F93D0D"/>
    <w:rsid w:val="2405417E"/>
    <w:rsid w:val="24197365"/>
    <w:rsid w:val="241B5C62"/>
    <w:rsid w:val="242A4D36"/>
    <w:rsid w:val="242A56EB"/>
    <w:rsid w:val="24312CB0"/>
    <w:rsid w:val="243A6CBE"/>
    <w:rsid w:val="24513B48"/>
    <w:rsid w:val="2458381E"/>
    <w:rsid w:val="245872F9"/>
    <w:rsid w:val="245943D9"/>
    <w:rsid w:val="245E6B64"/>
    <w:rsid w:val="2463385E"/>
    <w:rsid w:val="246B2606"/>
    <w:rsid w:val="24767C7B"/>
    <w:rsid w:val="247C178B"/>
    <w:rsid w:val="247E39CA"/>
    <w:rsid w:val="24861BCE"/>
    <w:rsid w:val="2486388F"/>
    <w:rsid w:val="24967323"/>
    <w:rsid w:val="249D5FC8"/>
    <w:rsid w:val="24A1538E"/>
    <w:rsid w:val="24B9450F"/>
    <w:rsid w:val="24C25350"/>
    <w:rsid w:val="24C83F94"/>
    <w:rsid w:val="24D82EE2"/>
    <w:rsid w:val="24DA4806"/>
    <w:rsid w:val="24DF46F6"/>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6C1436"/>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54AD0"/>
    <w:rsid w:val="27E66B1C"/>
    <w:rsid w:val="27E864CC"/>
    <w:rsid w:val="27EC25E3"/>
    <w:rsid w:val="27ED0939"/>
    <w:rsid w:val="27F1498B"/>
    <w:rsid w:val="27F80CA0"/>
    <w:rsid w:val="28021134"/>
    <w:rsid w:val="2802750E"/>
    <w:rsid w:val="28027A71"/>
    <w:rsid w:val="281D5376"/>
    <w:rsid w:val="281F4F67"/>
    <w:rsid w:val="282857E6"/>
    <w:rsid w:val="28325770"/>
    <w:rsid w:val="283744B4"/>
    <w:rsid w:val="283E7768"/>
    <w:rsid w:val="28485D62"/>
    <w:rsid w:val="28517107"/>
    <w:rsid w:val="28524ABE"/>
    <w:rsid w:val="285560D7"/>
    <w:rsid w:val="286C77D1"/>
    <w:rsid w:val="286D03C2"/>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2120C3"/>
    <w:rsid w:val="294E766A"/>
    <w:rsid w:val="2952590A"/>
    <w:rsid w:val="295545AF"/>
    <w:rsid w:val="29623F1E"/>
    <w:rsid w:val="297161D3"/>
    <w:rsid w:val="2978319A"/>
    <w:rsid w:val="29886D49"/>
    <w:rsid w:val="29897A2F"/>
    <w:rsid w:val="29954C89"/>
    <w:rsid w:val="29A015B3"/>
    <w:rsid w:val="29A02DFF"/>
    <w:rsid w:val="29A3014B"/>
    <w:rsid w:val="29A74CBD"/>
    <w:rsid w:val="29A80BF5"/>
    <w:rsid w:val="29B01C34"/>
    <w:rsid w:val="29B16357"/>
    <w:rsid w:val="29BA0D88"/>
    <w:rsid w:val="29BB3E72"/>
    <w:rsid w:val="29CF32B2"/>
    <w:rsid w:val="29DE15A2"/>
    <w:rsid w:val="29E0500B"/>
    <w:rsid w:val="29E56462"/>
    <w:rsid w:val="29EC475A"/>
    <w:rsid w:val="29EF3680"/>
    <w:rsid w:val="29EF424E"/>
    <w:rsid w:val="29F35970"/>
    <w:rsid w:val="29FA7F26"/>
    <w:rsid w:val="2A0B7871"/>
    <w:rsid w:val="2A166823"/>
    <w:rsid w:val="2A35650F"/>
    <w:rsid w:val="2A405845"/>
    <w:rsid w:val="2A4562D4"/>
    <w:rsid w:val="2A4D593F"/>
    <w:rsid w:val="2A575627"/>
    <w:rsid w:val="2A6C2D77"/>
    <w:rsid w:val="2A6E31F8"/>
    <w:rsid w:val="2A7270B7"/>
    <w:rsid w:val="2A824349"/>
    <w:rsid w:val="2A82713D"/>
    <w:rsid w:val="2A87174E"/>
    <w:rsid w:val="2A8A2F9C"/>
    <w:rsid w:val="2AA45D17"/>
    <w:rsid w:val="2AAB3B94"/>
    <w:rsid w:val="2AAC5A06"/>
    <w:rsid w:val="2AB22DE3"/>
    <w:rsid w:val="2AB369FC"/>
    <w:rsid w:val="2AB775FB"/>
    <w:rsid w:val="2ABB3D6F"/>
    <w:rsid w:val="2AC318D9"/>
    <w:rsid w:val="2AC70B30"/>
    <w:rsid w:val="2ACC2AAF"/>
    <w:rsid w:val="2ACD46FA"/>
    <w:rsid w:val="2ACD717C"/>
    <w:rsid w:val="2AD74744"/>
    <w:rsid w:val="2AD91AC2"/>
    <w:rsid w:val="2AE57C95"/>
    <w:rsid w:val="2AE97E06"/>
    <w:rsid w:val="2AF34B3D"/>
    <w:rsid w:val="2AF35C8B"/>
    <w:rsid w:val="2B055F4D"/>
    <w:rsid w:val="2B0C0EEE"/>
    <w:rsid w:val="2B112D02"/>
    <w:rsid w:val="2B132265"/>
    <w:rsid w:val="2B214776"/>
    <w:rsid w:val="2B2843BE"/>
    <w:rsid w:val="2B2A789A"/>
    <w:rsid w:val="2B313FC1"/>
    <w:rsid w:val="2B347C14"/>
    <w:rsid w:val="2B39348E"/>
    <w:rsid w:val="2B3C602B"/>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11447"/>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85E71"/>
    <w:rsid w:val="2CBE6567"/>
    <w:rsid w:val="2CCB6E18"/>
    <w:rsid w:val="2CCC2BFE"/>
    <w:rsid w:val="2CCF5C52"/>
    <w:rsid w:val="2CE01F07"/>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6D7E98"/>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200"/>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AE0E14"/>
    <w:rsid w:val="2FC86676"/>
    <w:rsid w:val="2FCA3CBE"/>
    <w:rsid w:val="2FD17A1B"/>
    <w:rsid w:val="2FD71CA4"/>
    <w:rsid w:val="2FDC432A"/>
    <w:rsid w:val="2FDC4A8D"/>
    <w:rsid w:val="2FDD73CC"/>
    <w:rsid w:val="2FE27109"/>
    <w:rsid w:val="2FEA743A"/>
    <w:rsid w:val="2FF24D11"/>
    <w:rsid w:val="2FF93066"/>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B07269"/>
    <w:rsid w:val="30C16A19"/>
    <w:rsid w:val="30C262B6"/>
    <w:rsid w:val="30CB5800"/>
    <w:rsid w:val="30D32236"/>
    <w:rsid w:val="30DB6CFA"/>
    <w:rsid w:val="30E43E12"/>
    <w:rsid w:val="30E53B71"/>
    <w:rsid w:val="30E8513F"/>
    <w:rsid w:val="30FA7530"/>
    <w:rsid w:val="30FF2795"/>
    <w:rsid w:val="31015E30"/>
    <w:rsid w:val="310375CD"/>
    <w:rsid w:val="310854C5"/>
    <w:rsid w:val="310D44C6"/>
    <w:rsid w:val="310E6387"/>
    <w:rsid w:val="311611B3"/>
    <w:rsid w:val="31180F58"/>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9B3F06"/>
    <w:rsid w:val="31A9328B"/>
    <w:rsid w:val="31AD09F7"/>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309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A062A"/>
    <w:rsid w:val="337D34FB"/>
    <w:rsid w:val="337E2DAF"/>
    <w:rsid w:val="339C6DF8"/>
    <w:rsid w:val="33A47053"/>
    <w:rsid w:val="33AD5111"/>
    <w:rsid w:val="33BF4199"/>
    <w:rsid w:val="33CD23A8"/>
    <w:rsid w:val="33CD6498"/>
    <w:rsid w:val="33D7554F"/>
    <w:rsid w:val="33D825FA"/>
    <w:rsid w:val="33DB2AB1"/>
    <w:rsid w:val="33FA40FA"/>
    <w:rsid w:val="33FE62E7"/>
    <w:rsid w:val="34080399"/>
    <w:rsid w:val="340D25F6"/>
    <w:rsid w:val="34161D6C"/>
    <w:rsid w:val="341E19AD"/>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A3241"/>
    <w:rsid w:val="348E58C4"/>
    <w:rsid w:val="349164BD"/>
    <w:rsid w:val="3495237E"/>
    <w:rsid w:val="3499657C"/>
    <w:rsid w:val="34A40DA8"/>
    <w:rsid w:val="34A52713"/>
    <w:rsid w:val="34BD02AE"/>
    <w:rsid w:val="34BD32A6"/>
    <w:rsid w:val="34BE1B67"/>
    <w:rsid w:val="34C20DC7"/>
    <w:rsid w:val="34C77705"/>
    <w:rsid w:val="34DA26A8"/>
    <w:rsid w:val="34DE2B9F"/>
    <w:rsid w:val="34DF0124"/>
    <w:rsid w:val="34E145D2"/>
    <w:rsid w:val="34E75EA5"/>
    <w:rsid w:val="34E960F1"/>
    <w:rsid w:val="34EE6187"/>
    <w:rsid w:val="350A65C4"/>
    <w:rsid w:val="350B42D5"/>
    <w:rsid w:val="350F6258"/>
    <w:rsid w:val="35126D01"/>
    <w:rsid w:val="351977B4"/>
    <w:rsid w:val="351A603C"/>
    <w:rsid w:val="352821F6"/>
    <w:rsid w:val="35292624"/>
    <w:rsid w:val="3533698A"/>
    <w:rsid w:val="35387F19"/>
    <w:rsid w:val="3539550B"/>
    <w:rsid w:val="35413331"/>
    <w:rsid w:val="354319AA"/>
    <w:rsid w:val="354D5E0E"/>
    <w:rsid w:val="355D10E3"/>
    <w:rsid w:val="355F206B"/>
    <w:rsid w:val="356150BC"/>
    <w:rsid w:val="356678B4"/>
    <w:rsid w:val="3573649F"/>
    <w:rsid w:val="35774602"/>
    <w:rsid w:val="357E4B0A"/>
    <w:rsid w:val="35837DFD"/>
    <w:rsid w:val="35866D7F"/>
    <w:rsid w:val="358F6BDF"/>
    <w:rsid w:val="35917C0B"/>
    <w:rsid w:val="359611AB"/>
    <w:rsid w:val="359D0688"/>
    <w:rsid w:val="35A210A7"/>
    <w:rsid w:val="35A26AC9"/>
    <w:rsid w:val="35A440D7"/>
    <w:rsid w:val="35AE1117"/>
    <w:rsid w:val="35AE3DE9"/>
    <w:rsid w:val="35C06D50"/>
    <w:rsid w:val="35CC6426"/>
    <w:rsid w:val="35CD6F14"/>
    <w:rsid w:val="35D24294"/>
    <w:rsid w:val="35D71152"/>
    <w:rsid w:val="35F629BD"/>
    <w:rsid w:val="35FF6F3C"/>
    <w:rsid w:val="3600359A"/>
    <w:rsid w:val="36075F27"/>
    <w:rsid w:val="36121506"/>
    <w:rsid w:val="36180A4A"/>
    <w:rsid w:val="361D7A43"/>
    <w:rsid w:val="361E658D"/>
    <w:rsid w:val="361F3323"/>
    <w:rsid w:val="362C64B5"/>
    <w:rsid w:val="363019EB"/>
    <w:rsid w:val="36326D0C"/>
    <w:rsid w:val="363835C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37903"/>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93B1D"/>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1381E"/>
    <w:rsid w:val="38647460"/>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DD76CC"/>
    <w:rsid w:val="38E40A5B"/>
    <w:rsid w:val="38E51952"/>
    <w:rsid w:val="38F16A28"/>
    <w:rsid w:val="3913128B"/>
    <w:rsid w:val="391A3359"/>
    <w:rsid w:val="39285D57"/>
    <w:rsid w:val="39315D4D"/>
    <w:rsid w:val="393E40A8"/>
    <w:rsid w:val="394B6470"/>
    <w:rsid w:val="395C6EA8"/>
    <w:rsid w:val="39872512"/>
    <w:rsid w:val="39A007AA"/>
    <w:rsid w:val="39A602F9"/>
    <w:rsid w:val="39BD45C8"/>
    <w:rsid w:val="39C2316A"/>
    <w:rsid w:val="39D84654"/>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4F3B4E"/>
    <w:rsid w:val="3B552653"/>
    <w:rsid w:val="3B5A2A22"/>
    <w:rsid w:val="3B5B5607"/>
    <w:rsid w:val="3B6B4F3A"/>
    <w:rsid w:val="3B707794"/>
    <w:rsid w:val="3B7804A3"/>
    <w:rsid w:val="3B8E2153"/>
    <w:rsid w:val="3B9B2072"/>
    <w:rsid w:val="3BA03B83"/>
    <w:rsid w:val="3BA551AF"/>
    <w:rsid w:val="3BA91F03"/>
    <w:rsid w:val="3BB16FA6"/>
    <w:rsid w:val="3BB17CE6"/>
    <w:rsid w:val="3BB20883"/>
    <w:rsid w:val="3BB448B0"/>
    <w:rsid w:val="3BC34E75"/>
    <w:rsid w:val="3BCB270F"/>
    <w:rsid w:val="3BD569C2"/>
    <w:rsid w:val="3BD96AA6"/>
    <w:rsid w:val="3BDB053C"/>
    <w:rsid w:val="3BE4466B"/>
    <w:rsid w:val="3BED002E"/>
    <w:rsid w:val="3BF64842"/>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12E5F"/>
    <w:rsid w:val="3C734413"/>
    <w:rsid w:val="3C764842"/>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4209E"/>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104CE"/>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8720F"/>
    <w:rsid w:val="3E1328D6"/>
    <w:rsid w:val="3E1B7668"/>
    <w:rsid w:val="3E1C6544"/>
    <w:rsid w:val="3E1D4B24"/>
    <w:rsid w:val="3E2A7B0A"/>
    <w:rsid w:val="3E314520"/>
    <w:rsid w:val="3E3A04FA"/>
    <w:rsid w:val="3E3D6B96"/>
    <w:rsid w:val="3E3F202E"/>
    <w:rsid w:val="3E441C7D"/>
    <w:rsid w:val="3E490256"/>
    <w:rsid w:val="3E4C16BD"/>
    <w:rsid w:val="3E4C2EC5"/>
    <w:rsid w:val="3E55739E"/>
    <w:rsid w:val="3E68075C"/>
    <w:rsid w:val="3E6C43C8"/>
    <w:rsid w:val="3E6E6161"/>
    <w:rsid w:val="3E8227F0"/>
    <w:rsid w:val="3E937F82"/>
    <w:rsid w:val="3E9B4B40"/>
    <w:rsid w:val="3EB71AC8"/>
    <w:rsid w:val="3EC14CA0"/>
    <w:rsid w:val="3EC85E34"/>
    <w:rsid w:val="3ECF2AAC"/>
    <w:rsid w:val="3ED0424C"/>
    <w:rsid w:val="3ED07B7E"/>
    <w:rsid w:val="3EDC2C5B"/>
    <w:rsid w:val="3EF31E7F"/>
    <w:rsid w:val="3EF36DF0"/>
    <w:rsid w:val="3EFC77FE"/>
    <w:rsid w:val="3F003339"/>
    <w:rsid w:val="3F035EE1"/>
    <w:rsid w:val="3F053EF6"/>
    <w:rsid w:val="3F093188"/>
    <w:rsid w:val="3F0C1E13"/>
    <w:rsid w:val="3F173F6B"/>
    <w:rsid w:val="3F1A20DE"/>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93586"/>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2F649F"/>
    <w:rsid w:val="403052F1"/>
    <w:rsid w:val="40330D29"/>
    <w:rsid w:val="403B277F"/>
    <w:rsid w:val="404469FD"/>
    <w:rsid w:val="404A2717"/>
    <w:rsid w:val="404E779F"/>
    <w:rsid w:val="4059090D"/>
    <w:rsid w:val="4065170A"/>
    <w:rsid w:val="40687776"/>
    <w:rsid w:val="406966BC"/>
    <w:rsid w:val="406C4DFB"/>
    <w:rsid w:val="406E5CAB"/>
    <w:rsid w:val="40713C35"/>
    <w:rsid w:val="40823B87"/>
    <w:rsid w:val="408355D6"/>
    <w:rsid w:val="408376F8"/>
    <w:rsid w:val="408C04D2"/>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1C49CD"/>
    <w:rsid w:val="41325883"/>
    <w:rsid w:val="413353F1"/>
    <w:rsid w:val="41372918"/>
    <w:rsid w:val="41464224"/>
    <w:rsid w:val="414C0B0E"/>
    <w:rsid w:val="41513BC9"/>
    <w:rsid w:val="41713236"/>
    <w:rsid w:val="41735B7F"/>
    <w:rsid w:val="419302E2"/>
    <w:rsid w:val="419C5FD8"/>
    <w:rsid w:val="419E558F"/>
    <w:rsid w:val="419E60D3"/>
    <w:rsid w:val="41A25332"/>
    <w:rsid w:val="41A339F5"/>
    <w:rsid w:val="41A36C7E"/>
    <w:rsid w:val="41A55EEC"/>
    <w:rsid w:val="41AA4A84"/>
    <w:rsid w:val="41AF06D0"/>
    <w:rsid w:val="41C45B38"/>
    <w:rsid w:val="41C93F6C"/>
    <w:rsid w:val="41D5139D"/>
    <w:rsid w:val="41D75714"/>
    <w:rsid w:val="41DD3BC3"/>
    <w:rsid w:val="41E535F4"/>
    <w:rsid w:val="41EE2F03"/>
    <w:rsid w:val="41F466FD"/>
    <w:rsid w:val="41FF4213"/>
    <w:rsid w:val="42002BC7"/>
    <w:rsid w:val="42026B03"/>
    <w:rsid w:val="420C60D5"/>
    <w:rsid w:val="420D197F"/>
    <w:rsid w:val="42130DE5"/>
    <w:rsid w:val="42187EBE"/>
    <w:rsid w:val="42201DD7"/>
    <w:rsid w:val="42240D3F"/>
    <w:rsid w:val="42273D8C"/>
    <w:rsid w:val="4227435A"/>
    <w:rsid w:val="42300D9C"/>
    <w:rsid w:val="423A3582"/>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92A2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03D58"/>
    <w:rsid w:val="436263D5"/>
    <w:rsid w:val="437556C4"/>
    <w:rsid w:val="43874CD4"/>
    <w:rsid w:val="43874FE8"/>
    <w:rsid w:val="439B699F"/>
    <w:rsid w:val="439D3E18"/>
    <w:rsid w:val="439E6C2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200B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851C4"/>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26C7C"/>
    <w:rsid w:val="46E53335"/>
    <w:rsid w:val="46E544E3"/>
    <w:rsid w:val="46E87DBA"/>
    <w:rsid w:val="46EE15F6"/>
    <w:rsid w:val="46EE2CC7"/>
    <w:rsid w:val="46FA7468"/>
    <w:rsid w:val="470F7B86"/>
    <w:rsid w:val="47155D89"/>
    <w:rsid w:val="473069AF"/>
    <w:rsid w:val="47356ECD"/>
    <w:rsid w:val="47484E32"/>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81496"/>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4D071A"/>
    <w:rsid w:val="4A5A756D"/>
    <w:rsid w:val="4A722B4C"/>
    <w:rsid w:val="4A785772"/>
    <w:rsid w:val="4A7A7433"/>
    <w:rsid w:val="4A842E43"/>
    <w:rsid w:val="4A886D1D"/>
    <w:rsid w:val="4A89105B"/>
    <w:rsid w:val="4A912BF7"/>
    <w:rsid w:val="4A955EEB"/>
    <w:rsid w:val="4AA341CC"/>
    <w:rsid w:val="4AAD4AA9"/>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1F41F9"/>
    <w:rsid w:val="4B250CF8"/>
    <w:rsid w:val="4B2873FD"/>
    <w:rsid w:val="4B3D4DE9"/>
    <w:rsid w:val="4B59618C"/>
    <w:rsid w:val="4B5B2C7E"/>
    <w:rsid w:val="4B6A74A5"/>
    <w:rsid w:val="4B6D6F07"/>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1A01C1"/>
    <w:rsid w:val="4C2910DF"/>
    <w:rsid w:val="4C2B4DDD"/>
    <w:rsid w:val="4C312198"/>
    <w:rsid w:val="4C336177"/>
    <w:rsid w:val="4C471A55"/>
    <w:rsid w:val="4C4E51AF"/>
    <w:rsid w:val="4C53456F"/>
    <w:rsid w:val="4C562920"/>
    <w:rsid w:val="4C5D1F92"/>
    <w:rsid w:val="4C603F16"/>
    <w:rsid w:val="4C6262E0"/>
    <w:rsid w:val="4C6703A3"/>
    <w:rsid w:val="4C6D7518"/>
    <w:rsid w:val="4C704A5C"/>
    <w:rsid w:val="4C8C1682"/>
    <w:rsid w:val="4C923A72"/>
    <w:rsid w:val="4CAB3057"/>
    <w:rsid w:val="4CB531CC"/>
    <w:rsid w:val="4CB80C32"/>
    <w:rsid w:val="4CB96B0F"/>
    <w:rsid w:val="4CBD582C"/>
    <w:rsid w:val="4CC21369"/>
    <w:rsid w:val="4CD1735E"/>
    <w:rsid w:val="4CE34E9F"/>
    <w:rsid w:val="4CF52D94"/>
    <w:rsid w:val="4D075911"/>
    <w:rsid w:val="4D0C6B0F"/>
    <w:rsid w:val="4D116682"/>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965A1"/>
    <w:rsid w:val="4DAF14C5"/>
    <w:rsid w:val="4DB9067A"/>
    <w:rsid w:val="4DC605B6"/>
    <w:rsid w:val="4DD732D2"/>
    <w:rsid w:val="4DEC0985"/>
    <w:rsid w:val="4E000105"/>
    <w:rsid w:val="4E0538A3"/>
    <w:rsid w:val="4E0E6818"/>
    <w:rsid w:val="4E27683A"/>
    <w:rsid w:val="4E300289"/>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60940"/>
    <w:rsid w:val="4EDB58B2"/>
    <w:rsid w:val="4EE925CE"/>
    <w:rsid w:val="4EEB1A94"/>
    <w:rsid w:val="4EEF2E30"/>
    <w:rsid w:val="4EF24828"/>
    <w:rsid w:val="4EFE7F59"/>
    <w:rsid w:val="4F0557AF"/>
    <w:rsid w:val="4F285975"/>
    <w:rsid w:val="4F2A1A96"/>
    <w:rsid w:val="4F2A7BF3"/>
    <w:rsid w:val="4F2E2624"/>
    <w:rsid w:val="4F3032F3"/>
    <w:rsid w:val="4F4E1077"/>
    <w:rsid w:val="4F546156"/>
    <w:rsid w:val="4F5B6F39"/>
    <w:rsid w:val="4F621F24"/>
    <w:rsid w:val="4F64780B"/>
    <w:rsid w:val="4F6C6998"/>
    <w:rsid w:val="4F727FD6"/>
    <w:rsid w:val="4F836EB9"/>
    <w:rsid w:val="4F844A99"/>
    <w:rsid w:val="4F94662C"/>
    <w:rsid w:val="4FAB774E"/>
    <w:rsid w:val="4FB00163"/>
    <w:rsid w:val="4FB208E7"/>
    <w:rsid w:val="4FE30332"/>
    <w:rsid w:val="4FE70BB4"/>
    <w:rsid w:val="4FE73C01"/>
    <w:rsid w:val="4FE76D51"/>
    <w:rsid w:val="4FE87C31"/>
    <w:rsid w:val="4FF03F98"/>
    <w:rsid w:val="4FF14DCF"/>
    <w:rsid w:val="4FF62B3F"/>
    <w:rsid w:val="50062DD9"/>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675605"/>
    <w:rsid w:val="507055F2"/>
    <w:rsid w:val="507E1B25"/>
    <w:rsid w:val="508E3B94"/>
    <w:rsid w:val="508E4492"/>
    <w:rsid w:val="5090223F"/>
    <w:rsid w:val="50924591"/>
    <w:rsid w:val="50943125"/>
    <w:rsid w:val="50A2548C"/>
    <w:rsid w:val="50A578DE"/>
    <w:rsid w:val="50A649F5"/>
    <w:rsid w:val="50AB5EB6"/>
    <w:rsid w:val="50AD494C"/>
    <w:rsid w:val="50AE6FE2"/>
    <w:rsid w:val="50B16618"/>
    <w:rsid w:val="50BB6306"/>
    <w:rsid w:val="50BF5E9F"/>
    <w:rsid w:val="50C12EDC"/>
    <w:rsid w:val="50C471FF"/>
    <w:rsid w:val="50CD2E4B"/>
    <w:rsid w:val="50D8533B"/>
    <w:rsid w:val="50DA0A9E"/>
    <w:rsid w:val="50ED21B8"/>
    <w:rsid w:val="50F31CB9"/>
    <w:rsid w:val="50F66F3D"/>
    <w:rsid w:val="50F8688B"/>
    <w:rsid w:val="50FA27BD"/>
    <w:rsid w:val="50FA629D"/>
    <w:rsid w:val="50FB1A8B"/>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D58FF"/>
    <w:rsid w:val="526E0E82"/>
    <w:rsid w:val="527901C6"/>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F77EA"/>
    <w:rsid w:val="53367575"/>
    <w:rsid w:val="533933AA"/>
    <w:rsid w:val="533B7F54"/>
    <w:rsid w:val="533D2D66"/>
    <w:rsid w:val="535009E1"/>
    <w:rsid w:val="53622480"/>
    <w:rsid w:val="53650168"/>
    <w:rsid w:val="53651B48"/>
    <w:rsid w:val="53665DA9"/>
    <w:rsid w:val="536C2A29"/>
    <w:rsid w:val="536E571F"/>
    <w:rsid w:val="538859E4"/>
    <w:rsid w:val="538E3092"/>
    <w:rsid w:val="53902F6B"/>
    <w:rsid w:val="53917F72"/>
    <w:rsid w:val="539F394B"/>
    <w:rsid w:val="53A20FFA"/>
    <w:rsid w:val="53A233E4"/>
    <w:rsid w:val="53A63AE8"/>
    <w:rsid w:val="53A94C48"/>
    <w:rsid w:val="53AA7BC7"/>
    <w:rsid w:val="53AE5EA5"/>
    <w:rsid w:val="53B00B1F"/>
    <w:rsid w:val="53B2409D"/>
    <w:rsid w:val="53B31E73"/>
    <w:rsid w:val="53BD0731"/>
    <w:rsid w:val="53BF4252"/>
    <w:rsid w:val="53C950CA"/>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5359D"/>
    <w:rsid w:val="548A51DF"/>
    <w:rsid w:val="54B06F11"/>
    <w:rsid w:val="54B56DF4"/>
    <w:rsid w:val="54B93943"/>
    <w:rsid w:val="54BE5578"/>
    <w:rsid w:val="54BF52B5"/>
    <w:rsid w:val="54D202CA"/>
    <w:rsid w:val="54D54E59"/>
    <w:rsid w:val="54DD41DB"/>
    <w:rsid w:val="54DE6BB8"/>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17390"/>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16320B"/>
    <w:rsid w:val="572657E3"/>
    <w:rsid w:val="5732705F"/>
    <w:rsid w:val="57351D6F"/>
    <w:rsid w:val="573B7F99"/>
    <w:rsid w:val="57422DC7"/>
    <w:rsid w:val="576476C1"/>
    <w:rsid w:val="576E1940"/>
    <w:rsid w:val="57756BF9"/>
    <w:rsid w:val="57770501"/>
    <w:rsid w:val="577B3337"/>
    <w:rsid w:val="577D4F28"/>
    <w:rsid w:val="578B1816"/>
    <w:rsid w:val="57A33734"/>
    <w:rsid w:val="57A53B57"/>
    <w:rsid w:val="57AB6ADD"/>
    <w:rsid w:val="57B7178E"/>
    <w:rsid w:val="57B76EED"/>
    <w:rsid w:val="57BD72A7"/>
    <w:rsid w:val="57BE5838"/>
    <w:rsid w:val="57BF764E"/>
    <w:rsid w:val="57C13144"/>
    <w:rsid w:val="57C4347C"/>
    <w:rsid w:val="57CB35DF"/>
    <w:rsid w:val="57D82354"/>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C2720"/>
    <w:rsid w:val="588E3967"/>
    <w:rsid w:val="589E7444"/>
    <w:rsid w:val="58AD27D9"/>
    <w:rsid w:val="58B169A2"/>
    <w:rsid w:val="58B9636C"/>
    <w:rsid w:val="58C37133"/>
    <w:rsid w:val="58C93046"/>
    <w:rsid w:val="58C952C6"/>
    <w:rsid w:val="58D36BCB"/>
    <w:rsid w:val="58D42880"/>
    <w:rsid w:val="58D8157C"/>
    <w:rsid w:val="58E11166"/>
    <w:rsid w:val="58E6349C"/>
    <w:rsid w:val="58E83DEC"/>
    <w:rsid w:val="58EF63EE"/>
    <w:rsid w:val="590317F0"/>
    <w:rsid w:val="59075000"/>
    <w:rsid w:val="592544CF"/>
    <w:rsid w:val="593559FD"/>
    <w:rsid w:val="593A4D15"/>
    <w:rsid w:val="594079B2"/>
    <w:rsid w:val="595B45EE"/>
    <w:rsid w:val="595C4A81"/>
    <w:rsid w:val="596A688E"/>
    <w:rsid w:val="596E7229"/>
    <w:rsid w:val="5972466D"/>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2580A"/>
    <w:rsid w:val="5AA75D85"/>
    <w:rsid w:val="5AB7299D"/>
    <w:rsid w:val="5ABC50F4"/>
    <w:rsid w:val="5ACC4940"/>
    <w:rsid w:val="5ACD3CD2"/>
    <w:rsid w:val="5AD7333E"/>
    <w:rsid w:val="5AD86A6D"/>
    <w:rsid w:val="5ADA2BF4"/>
    <w:rsid w:val="5ADF4325"/>
    <w:rsid w:val="5AE8708E"/>
    <w:rsid w:val="5AEB6283"/>
    <w:rsid w:val="5AEC14F6"/>
    <w:rsid w:val="5AF124A4"/>
    <w:rsid w:val="5B0A4D6B"/>
    <w:rsid w:val="5B141085"/>
    <w:rsid w:val="5B1C2A87"/>
    <w:rsid w:val="5B266C40"/>
    <w:rsid w:val="5B28192B"/>
    <w:rsid w:val="5B33135D"/>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825CAE"/>
    <w:rsid w:val="5B9004A9"/>
    <w:rsid w:val="5B907C6C"/>
    <w:rsid w:val="5B9251EF"/>
    <w:rsid w:val="5BAB5BC4"/>
    <w:rsid w:val="5BAC79AD"/>
    <w:rsid w:val="5BB20B74"/>
    <w:rsid w:val="5BB33170"/>
    <w:rsid w:val="5BC677D8"/>
    <w:rsid w:val="5BC857FD"/>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9B"/>
    <w:rsid w:val="5C4C2CF4"/>
    <w:rsid w:val="5C5E6BCC"/>
    <w:rsid w:val="5C6B1600"/>
    <w:rsid w:val="5C6E26BF"/>
    <w:rsid w:val="5C706511"/>
    <w:rsid w:val="5C7A7F52"/>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429B7"/>
    <w:rsid w:val="5DC848B4"/>
    <w:rsid w:val="5DD14397"/>
    <w:rsid w:val="5DD3123F"/>
    <w:rsid w:val="5DD45E00"/>
    <w:rsid w:val="5DD564E5"/>
    <w:rsid w:val="5DD71C7A"/>
    <w:rsid w:val="5DD734EC"/>
    <w:rsid w:val="5DDA4F5F"/>
    <w:rsid w:val="5DDF6E6E"/>
    <w:rsid w:val="5DEC05A1"/>
    <w:rsid w:val="5DEE0433"/>
    <w:rsid w:val="5DEE2993"/>
    <w:rsid w:val="5DFD51DB"/>
    <w:rsid w:val="5E074E49"/>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85A72"/>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9013A"/>
    <w:rsid w:val="5F8A0701"/>
    <w:rsid w:val="5F8F0B9E"/>
    <w:rsid w:val="5F8F267A"/>
    <w:rsid w:val="5F941274"/>
    <w:rsid w:val="5F99518A"/>
    <w:rsid w:val="5F9A540B"/>
    <w:rsid w:val="5FAB7F08"/>
    <w:rsid w:val="5FB7185B"/>
    <w:rsid w:val="5FB94C48"/>
    <w:rsid w:val="5FBE576C"/>
    <w:rsid w:val="5FD92450"/>
    <w:rsid w:val="5FDE327E"/>
    <w:rsid w:val="5FEB4E90"/>
    <w:rsid w:val="5FF37587"/>
    <w:rsid w:val="5FF85D1E"/>
    <w:rsid w:val="5FFE57B7"/>
    <w:rsid w:val="5FFF04A2"/>
    <w:rsid w:val="60060CD5"/>
    <w:rsid w:val="60085AA3"/>
    <w:rsid w:val="600E362B"/>
    <w:rsid w:val="60183392"/>
    <w:rsid w:val="601A4CB1"/>
    <w:rsid w:val="601B56CB"/>
    <w:rsid w:val="60237FFC"/>
    <w:rsid w:val="602647A9"/>
    <w:rsid w:val="602C236D"/>
    <w:rsid w:val="603114E4"/>
    <w:rsid w:val="603967D7"/>
    <w:rsid w:val="603D3325"/>
    <w:rsid w:val="604040A8"/>
    <w:rsid w:val="604233CA"/>
    <w:rsid w:val="604310A8"/>
    <w:rsid w:val="60470CE3"/>
    <w:rsid w:val="60485D19"/>
    <w:rsid w:val="604D29BA"/>
    <w:rsid w:val="605C4AD4"/>
    <w:rsid w:val="605C5019"/>
    <w:rsid w:val="606711B4"/>
    <w:rsid w:val="60673C40"/>
    <w:rsid w:val="606A52D4"/>
    <w:rsid w:val="606C5678"/>
    <w:rsid w:val="607A0897"/>
    <w:rsid w:val="607B4781"/>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C8010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C3D06"/>
    <w:rsid w:val="61ED6D6A"/>
    <w:rsid w:val="61FF316E"/>
    <w:rsid w:val="62014BDB"/>
    <w:rsid w:val="621542CB"/>
    <w:rsid w:val="621C2930"/>
    <w:rsid w:val="623A4E60"/>
    <w:rsid w:val="624263A2"/>
    <w:rsid w:val="6248722E"/>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402B4"/>
    <w:rsid w:val="62F6011A"/>
    <w:rsid w:val="62FD2BA9"/>
    <w:rsid w:val="63107694"/>
    <w:rsid w:val="6314586E"/>
    <w:rsid w:val="6327422B"/>
    <w:rsid w:val="6328597C"/>
    <w:rsid w:val="633B249F"/>
    <w:rsid w:val="633D1842"/>
    <w:rsid w:val="635123F0"/>
    <w:rsid w:val="63552D76"/>
    <w:rsid w:val="6359778B"/>
    <w:rsid w:val="635B63E3"/>
    <w:rsid w:val="63677698"/>
    <w:rsid w:val="63771D13"/>
    <w:rsid w:val="63791642"/>
    <w:rsid w:val="637C01B3"/>
    <w:rsid w:val="638C3395"/>
    <w:rsid w:val="63B37325"/>
    <w:rsid w:val="63B811CF"/>
    <w:rsid w:val="63B82D87"/>
    <w:rsid w:val="63BA3154"/>
    <w:rsid w:val="63C509F9"/>
    <w:rsid w:val="63CA2E8B"/>
    <w:rsid w:val="63CF097D"/>
    <w:rsid w:val="63D4153E"/>
    <w:rsid w:val="63DA0FA3"/>
    <w:rsid w:val="63DC7755"/>
    <w:rsid w:val="63E43D21"/>
    <w:rsid w:val="63E774B3"/>
    <w:rsid w:val="63F04A04"/>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900A7"/>
    <w:rsid w:val="64EB5728"/>
    <w:rsid w:val="64FA211B"/>
    <w:rsid w:val="64FB4412"/>
    <w:rsid w:val="64FE700F"/>
    <w:rsid w:val="6500327F"/>
    <w:rsid w:val="6503698F"/>
    <w:rsid w:val="6506609B"/>
    <w:rsid w:val="65083216"/>
    <w:rsid w:val="650A57D3"/>
    <w:rsid w:val="65460728"/>
    <w:rsid w:val="654835A8"/>
    <w:rsid w:val="654C7056"/>
    <w:rsid w:val="654D7A6A"/>
    <w:rsid w:val="65696D87"/>
    <w:rsid w:val="65733E15"/>
    <w:rsid w:val="657D30C6"/>
    <w:rsid w:val="65822810"/>
    <w:rsid w:val="65870C45"/>
    <w:rsid w:val="658F6B54"/>
    <w:rsid w:val="65955CF7"/>
    <w:rsid w:val="659705FF"/>
    <w:rsid w:val="659C60A2"/>
    <w:rsid w:val="65A47504"/>
    <w:rsid w:val="65AA6346"/>
    <w:rsid w:val="65B01B69"/>
    <w:rsid w:val="65B56C47"/>
    <w:rsid w:val="65B7794D"/>
    <w:rsid w:val="65B8262E"/>
    <w:rsid w:val="65BC15EE"/>
    <w:rsid w:val="65C73EF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547B8"/>
    <w:rsid w:val="66863A0F"/>
    <w:rsid w:val="668C53CC"/>
    <w:rsid w:val="66984358"/>
    <w:rsid w:val="66987BD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0B6C70"/>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2558C"/>
    <w:rsid w:val="68D507C6"/>
    <w:rsid w:val="68E24981"/>
    <w:rsid w:val="68E62C62"/>
    <w:rsid w:val="68ED60A5"/>
    <w:rsid w:val="69123F86"/>
    <w:rsid w:val="691C1D81"/>
    <w:rsid w:val="691C3525"/>
    <w:rsid w:val="691C4B46"/>
    <w:rsid w:val="69216128"/>
    <w:rsid w:val="69250799"/>
    <w:rsid w:val="69276FF2"/>
    <w:rsid w:val="69280874"/>
    <w:rsid w:val="692E74C3"/>
    <w:rsid w:val="69307671"/>
    <w:rsid w:val="695D6B21"/>
    <w:rsid w:val="69611EE7"/>
    <w:rsid w:val="69621F5B"/>
    <w:rsid w:val="696C708E"/>
    <w:rsid w:val="696F4D5D"/>
    <w:rsid w:val="69850877"/>
    <w:rsid w:val="698C13C5"/>
    <w:rsid w:val="698E32DB"/>
    <w:rsid w:val="69A17C7E"/>
    <w:rsid w:val="69C12919"/>
    <w:rsid w:val="69C71624"/>
    <w:rsid w:val="69EB1E1E"/>
    <w:rsid w:val="69F0745A"/>
    <w:rsid w:val="6A0D20F2"/>
    <w:rsid w:val="6A117613"/>
    <w:rsid w:val="6A1757B7"/>
    <w:rsid w:val="6A1A2066"/>
    <w:rsid w:val="6A1A4305"/>
    <w:rsid w:val="6A1D59EC"/>
    <w:rsid w:val="6A247F72"/>
    <w:rsid w:val="6A2E5EF8"/>
    <w:rsid w:val="6A3A6D15"/>
    <w:rsid w:val="6A3E2393"/>
    <w:rsid w:val="6A3E360B"/>
    <w:rsid w:val="6A435B92"/>
    <w:rsid w:val="6A444DB8"/>
    <w:rsid w:val="6A471880"/>
    <w:rsid w:val="6A4C28F4"/>
    <w:rsid w:val="6A4D4828"/>
    <w:rsid w:val="6A516AC3"/>
    <w:rsid w:val="6A5303BA"/>
    <w:rsid w:val="6A5B28ED"/>
    <w:rsid w:val="6A677080"/>
    <w:rsid w:val="6A711183"/>
    <w:rsid w:val="6A720BCF"/>
    <w:rsid w:val="6A7B4B9C"/>
    <w:rsid w:val="6A8A1698"/>
    <w:rsid w:val="6AAE7116"/>
    <w:rsid w:val="6AAF014C"/>
    <w:rsid w:val="6ABD60AB"/>
    <w:rsid w:val="6AC07690"/>
    <w:rsid w:val="6ACB082B"/>
    <w:rsid w:val="6ACD3503"/>
    <w:rsid w:val="6AD3247E"/>
    <w:rsid w:val="6AE4699C"/>
    <w:rsid w:val="6AED1BE8"/>
    <w:rsid w:val="6AF00853"/>
    <w:rsid w:val="6AF317C6"/>
    <w:rsid w:val="6B004C6B"/>
    <w:rsid w:val="6B09696B"/>
    <w:rsid w:val="6B250FA2"/>
    <w:rsid w:val="6B2B0EFD"/>
    <w:rsid w:val="6B2C13E4"/>
    <w:rsid w:val="6B2D2EEB"/>
    <w:rsid w:val="6B322952"/>
    <w:rsid w:val="6B410613"/>
    <w:rsid w:val="6B493E2C"/>
    <w:rsid w:val="6B4B0A4C"/>
    <w:rsid w:val="6B4B36C9"/>
    <w:rsid w:val="6B4E75E6"/>
    <w:rsid w:val="6B50310B"/>
    <w:rsid w:val="6B5045E2"/>
    <w:rsid w:val="6B5B3B9E"/>
    <w:rsid w:val="6B5C4553"/>
    <w:rsid w:val="6B62569D"/>
    <w:rsid w:val="6B692897"/>
    <w:rsid w:val="6B695848"/>
    <w:rsid w:val="6B6A1A57"/>
    <w:rsid w:val="6B6D1317"/>
    <w:rsid w:val="6B730045"/>
    <w:rsid w:val="6B736A2E"/>
    <w:rsid w:val="6B762264"/>
    <w:rsid w:val="6B792765"/>
    <w:rsid w:val="6B7964E9"/>
    <w:rsid w:val="6B8642C7"/>
    <w:rsid w:val="6B874340"/>
    <w:rsid w:val="6B884219"/>
    <w:rsid w:val="6B90781F"/>
    <w:rsid w:val="6B95451B"/>
    <w:rsid w:val="6BA6663C"/>
    <w:rsid w:val="6BA9194F"/>
    <w:rsid w:val="6BB07973"/>
    <w:rsid w:val="6BC43854"/>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1FBE"/>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5A2442"/>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897856"/>
    <w:rsid w:val="6F905BB3"/>
    <w:rsid w:val="6F9A3007"/>
    <w:rsid w:val="6FA629D4"/>
    <w:rsid w:val="6FA75ADB"/>
    <w:rsid w:val="6FB77ED4"/>
    <w:rsid w:val="6FBD3BBF"/>
    <w:rsid w:val="6FBD4D2F"/>
    <w:rsid w:val="6FBF4710"/>
    <w:rsid w:val="6FC9109F"/>
    <w:rsid w:val="6FCC6779"/>
    <w:rsid w:val="6FDB518F"/>
    <w:rsid w:val="6FDF72B1"/>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C54C7"/>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1E1BAA"/>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03599"/>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5B7688"/>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52BA7"/>
    <w:rsid w:val="72FD426E"/>
    <w:rsid w:val="73043CFC"/>
    <w:rsid w:val="7317244F"/>
    <w:rsid w:val="7329654B"/>
    <w:rsid w:val="732B736C"/>
    <w:rsid w:val="732C334F"/>
    <w:rsid w:val="733501BF"/>
    <w:rsid w:val="734F0C79"/>
    <w:rsid w:val="734F4185"/>
    <w:rsid w:val="73520620"/>
    <w:rsid w:val="73536078"/>
    <w:rsid w:val="7363274A"/>
    <w:rsid w:val="73691A4A"/>
    <w:rsid w:val="7371152B"/>
    <w:rsid w:val="73777B4D"/>
    <w:rsid w:val="73777D21"/>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A0435"/>
    <w:rsid w:val="744B354F"/>
    <w:rsid w:val="7450294E"/>
    <w:rsid w:val="74531332"/>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5A4C4E"/>
    <w:rsid w:val="75633812"/>
    <w:rsid w:val="756F29D2"/>
    <w:rsid w:val="75752B04"/>
    <w:rsid w:val="7580654E"/>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C2E10"/>
    <w:rsid w:val="764F5A52"/>
    <w:rsid w:val="76521C57"/>
    <w:rsid w:val="766163C1"/>
    <w:rsid w:val="76665926"/>
    <w:rsid w:val="766A4A0D"/>
    <w:rsid w:val="768C454B"/>
    <w:rsid w:val="7692667A"/>
    <w:rsid w:val="76982273"/>
    <w:rsid w:val="769A1A97"/>
    <w:rsid w:val="769A7352"/>
    <w:rsid w:val="769C4619"/>
    <w:rsid w:val="76A177B8"/>
    <w:rsid w:val="76A766BF"/>
    <w:rsid w:val="76AD2761"/>
    <w:rsid w:val="76B64E53"/>
    <w:rsid w:val="76B8001A"/>
    <w:rsid w:val="76B81599"/>
    <w:rsid w:val="76B97D11"/>
    <w:rsid w:val="76BB2F21"/>
    <w:rsid w:val="76BC314A"/>
    <w:rsid w:val="76C12918"/>
    <w:rsid w:val="76CC16BA"/>
    <w:rsid w:val="76CF29D3"/>
    <w:rsid w:val="76DC19D4"/>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A5E14"/>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BF39C7"/>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AC20B5"/>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1C011A"/>
    <w:rsid w:val="7A36322F"/>
    <w:rsid w:val="7A3B3D4A"/>
    <w:rsid w:val="7A431242"/>
    <w:rsid w:val="7A444657"/>
    <w:rsid w:val="7A4B3D21"/>
    <w:rsid w:val="7A4C2D60"/>
    <w:rsid w:val="7A5458B9"/>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9E6DBB"/>
    <w:rsid w:val="7BAA485C"/>
    <w:rsid w:val="7BAD1591"/>
    <w:rsid w:val="7BCD64C2"/>
    <w:rsid w:val="7BD3716B"/>
    <w:rsid w:val="7BD40348"/>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8F65F9"/>
    <w:rsid w:val="7C9B5288"/>
    <w:rsid w:val="7C9E5A24"/>
    <w:rsid w:val="7CA745A1"/>
    <w:rsid w:val="7CAC476D"/>
    <w:rsid w:val="7CAF4DCB"/>
    <w:rsid w:val="7CB4006B"/>
    <w:rsid w:val="7CB93ABB"/>
    <w:rsid w:val="7CC475DB"/>
    <w:rsid w:val="7CC91267"/>
    <w:rsid w:val="7CCA4C41"/>
    <w:rsid w:val="7CD36BD6"/>
    <w:rsid w:val="7CDE3831"/>
    <w:rsid w:val="7CE05980"/>
    <w:rsid w:val="7CE656F0"/>
    <w:rsid w:val="7CED34FF"/>
    <w:rsid w:val="7CEE5458"/>
    <w:rsid w:val="7CF04D9E"/>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1B1ABE"/>
    <w:rsid w:val="7E3E0FEC"/>
    <w:rsid w:val="7E3E1EF2"/>
    <w:rsid w:val="7E566EA2"/>
    <w:rsid w:val="7E5B15D2"/>
    <w:rsid w:val="7E5B76B4"/>
    <w:rsid w:val="7E5C1ABA"/>
    <w:rsid w:val="7E61281D"/>
    <w:rsid w:val="7E622778"/>
    <w:rsid w:val="7E6A479F"/>
    <w:rsid w:val="7E726401"/>
    <w:rsid w:val="7E756346"/>
    <w:rsid w:val="7E7D055C"/>
    <w:rsid w:val="7E8104AE"/>
    <w:rsid w:val="7E84007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85F9D"/>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3228D"/>
    <w:rsid w:val="7F761ADC"/>
    <w:rsid w:val="7F7D7A8E"/>
    <w:rsid w:val="7F872588"/>
    <w:rsid w:val="7F8725BA"/>
    <w:rsid w:val="7F8C6A8F"/>
    <w:rsid w:val="7F994DB5"/>
    <w:rsid w:val="7F9C175D"/>
    <w:rsid w:val="7F9F773D"/>
    <w:rsid w:val="7FA85877"/>
    <w:rsid w:val="7FAB3A81"/>
    <w:rsid w:val="7FBB77A4"/>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Text"/>
    <w:basedOn w:val="1"/>
    <w:qFormat/>
    <w:uiPriority w:val="0"/>
    <w:pPr>
      <w:keepLines/>
      <w:spacing w:after="240" w:line="240" w:lineRule="auto"/>
      <w:jc w:val="both"/>
    </w:pPr>
    <w:rPr>
      <w:rFonts w:ascii="Arial" w:hAnsi="Arial" w:eastAsia="Times New Roman"/>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2025-03-28T09:09:51Z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0C580A1331B34D89A58F550CB685A983</vt:lpwstr>
  </property>
</Properties>
</file>